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37" w:rsidRDefault="00AF6A37" w:rsidP="00E4656F">
      <w:pPr>
        <w:pStyle w:val="Title"/>
        <w:overflowPunct w:val="0"/>
        <w:autoSpaceDE w:val="0"/>
        <w:autoSpaceDN w:val="0"/>
        <w:adjustRightInd w:val="0"/>
        <w:spacing w:before="0" w:after="0"/>
        <w:textAlignment w:val="baseline"/>
        <w:rPr>
          <w:rFonts w:ascii="Times New Roman" w:hAnsi="Times New Roman" w:cs="Times New Roman"/>
          <w:bCs w:val="0"/>
          <w:spacing w:val="80"/>
          <w:kern w:val="0"/>
          <w:sz w:val="28"/>
          <w:szCs w:val="20"/>
        </w:rPr>
      </w:pPr>
      <w:bookmarkStart w:id="0" w:name="Facts"/>
      <w:r>
        <w:rPr>
          <w:rFonts w:ascii="Times New Roman" w:hAnsi="Times New Roman" w:cs="Times New Roman"/>
          <w:bCs w:val="0"/>
          <w:spacing w:val="80"/>
          <w:kern w:val="0"/>
          <w:sz w:val="28"/>
          <w:szCs w:val="20"/>
        </w:rPr>
        <w:t>STATE OF MICHIGAN</w:t>
      </w:r>
    </w:p>
    <w:bookmarkEnd w:id="0"/>
    <w:p w:rsidR="00AF6A37" w:rsidRDefault="00AF6A37" w:rsidP="00E4656F">
      <w:pPr>
        <w:pStyle w:val="BodyText"/>
      </w:pPr>
    </w:p>
    <w:p w:rsidR="00AF6A37" w:rsidRDefault="00AF6A37" w:rsidP="00E4656F">
      <w:pPr>
        <w:pStyle w:val="Title"/>
        <w:overflowPunct w:val="0"/>
        <w:autoSpaceDE w:val="0"/>
        <w:autoSpaceDN w:val="0"/>
        <w:adjustRightInd w:val="0"/>
        <w:spacing w:before="0" w:after="0"/>
        <w:textAlignment w:val="baseline"/>
        <w:rPr>
          <w:rFonts w:ascii="Times New Roman" w:hAnsi="Times New Roman" w:cs="Times New Roman"/>
          <w:bCs w:val="0"/>
          <w:spacing w:val="80"/>
          <w:kern w:val="0"/>
          <w:sz w:val="28"/>
          <w:szCs w:val="20"/>
        </w:rPr>
      </w:pPr>
      <w:r>
        <w:rPr>
          <w:rFonts w:ascii="Times New Roman" w:hAnsi="Times New Roman" w:cs="Times New Roman"/>
          <w:bCs w:val="0"/>
          <w:spacing w:val="80"/>
          <w:kern w:val="0"/>
          <w:sz w:val="28"/>
          <w:szCs w:val="20"/>
        </w:rPr>
        <w:t>COURT OF APPEALS</w:t>
      </w:r>
    </w:p>
    <w:p w:rsidR="00AF6A37" w:rsidRDefault="00AF6A37" w:rsidP="00E4656F">
      <w:pPr>
        <w:pStyle w:val="BodyText"/>
      </w:pPr>
    </w:p>
    <w:p w:rsidR="00AF6A37" w:rsidRDefault="00AF6A37" w:rsidP="00E4656F">
      <w:pPr>
        <w:pStyle w:val="BodyText"/>
      </w:pPr>
    </w:p>
    <w:tbl>
      <w:tblPr>
        <w:tblW w:w="0" w:type="auto"/>
        <w:tblLayout w:type="fixed"/>
        <w:tblLook w:val="0000"/>
      </w:tblPr>
      <w:tblGrid>
        <w:gridCol w:w="5238"/>
        <w:gridCol w:w="4680"/>
      </w:tblGrid>
      <w:tr w:rsidR="001258BD">
        <w:tc>
          <w:tcPr>
            <w:tcW w:w="5238" w:type="dxa"/>
            <w:tcBorders>
              <w:top w:val="single" w:sz="4" w:space="0" w:color="auto"/>
            </w:tcBorders>
          </w:tcPr>
          <w:p w:rsidR="001258BD" w:rsidRDefault="001258BD" w:rsidP="00E4656F">
            <w:pPr>
              <w:pStyle w:val="BodyText"/>
              <w:tabs>
                <w:tab w:val="left" w:pos="1440"/>
              </w:tabs>
              <w:ind w:right="72"/>
              <w:jc w:val="left"/>
            </w:pPr>
            <w:bookmarkStart w:id="1" w:name="CaptionType"/>
          </w:p>
          <w:p w:rsidR="001258BD" w:rsidRDefault="001258BD" w:rsidP="00E4656F">
            <w:pPr>
              <w:pStyle w:val="BodyText"/>
              <w:tabs>
                <w:tab w:val="left" w:pos="1440"/>
              </w:tabs>
              <w:ind w:right="72"/>
              <w:jc w:val="left"/>
            </w:pPr>
            <w:r>
              <w:t>STAND UP FOR DEMOCRACY,</w:t>
            </w:r>
          </w:p>
          <w:p w:rsidR="001258BD" w:rsidRDefault="001258BD" w:rsidP="00E4656F">
            <w:pPr>
              <w:pStyle w:val="BodyText"/>
              <w:tabs>
                <w:tab w:val="left" w:pos="1440"/>
              </w:tabs>
              <w:ind w:right="72"/>
              <w:jc w:val="left"/>
            </w:pPr>
          </w:p>
          <w:p w:rsidR="001258BD" w:rsidRDefault="001258BD" w:rsidP="00E4656F">
            <w:pPr>
              <w:pStyle w:val="BodyText"/>
              <w:tabs>
                <w:tab w:val="left" w:pos="1440"/>
              </w:tabs>
              <w:ind w:left="1440" w:right="72" w:hanging="1440"/>
              <w:jc w:val="left"/>
            </w:pPr>
            <w:r>
              <w:tab/>
              <w:t>Plaintiff,</w:t>
            </w:r>
          </w:p>
          <w:p w:rsidR="001258BD" w:rsidRDefault="001258BD" w:rsidP="00E4656F">
            <w:pPr>
              <w:pStyle w:val="BodyText"/>
            </w:pPr>
          </w:p>
        </w:tc>
        <w:tc>
          <w:tcPr>
            <w:tcW w:w="4680" w:type="dxa"/>
          </w:tcPr>
          <w:p w:rsidR="001258BD" w:rsidRDefault="001258BD" w:rsidP="00E4656F">
            <w:pPr>
              <w:pStyle w:val="BodyText"/>
              <w:tabs>
                <w:tab w:val="left" w:pos="1440"/>
              </w:tabs>
              <w:ind w:right="72"/>
              <w:jc w:val="left"/>
            </w:pPr>
          </w:p>
          <w:p w:rsidR="001258BD" w:rsidRDefault="001258BD" w:rsidP="00E4656F">
            <w:pPr>
              <w:pStyle w:val="BodyText"/>
              <w:tabs>
                <w:tab w:val="left" w:pos="1238"/>
              </w:tabs>
              <w:ind w:left="1238"/>
              <w:jc w:val="left"/>
            </w:pPr>
            <w:r>
              <w:t>FOR PUBLICATION</w:t>
            </w:r>
          </w:p>
          <w:p w:rsidR="00A13D4C" w:rsidRDefault="00A13D4C" w:rsidP="00E4656F">
            <w:pPr>
              <w:pStyle w:val="BodyText"/>
              <w:tabs>
                <w:tab w:val="left" w:pos="1238"/>
              </w:tabs>
              <w:ind w:left="1238"/>
              <w:jc w:val="left"/>
            </w:pPr>
            <w:r>
              <w:t>June 8, 2012</w:t>
            </w:r>
          </w:p>
          <w:p w:rsidR="00DE438E" w:rsidRDefault="00DE438E" w:rsidP="00E4656F">
            <w:pPr>
              <w:pStyle w:val="BodyText"/>
              <w:tabs>
                <w:tab w:val="left" w:pos="1238"/>
              </w:tabs>
              <w:ind w:left="1238"/>
              <w:jc w:val="left"/>
            </w:pPr>
            <w:r>
              <w:t>9:00 a.m.</w:t>
            </w:r>
          </w:p>
        </w:tc>
      </w:tr>
      <w:tr w:rsidR="001258BD">
        <w:tc>
          <w:tcPr>
            <w:tcW w:w="5238" w:type="dxa"/>
          </w:tcPr>
          <w:p w:rsidR="001258BD" w:rsidRDefault="00BC3E44" w:rsidP="00E4656F">
            <w:pPr>
              <w:pStyle w:val="BodyText"/>
              <w:tabs>
                <w:tab w:val="left" w:pos="2880"/>
              </w:tabs>
              <w:ind w:right="72"/>
              <w:jc w:val="left"/>
            </w:pPr>
            <w:r>
              <w:t>v</w:t>
            </w:r>
          </w:p>
        </w:tc>
        <w:tc>
          <w:tcPr>
            <w:tcW w:w="4680" w:type="dxa"/>
          </w:tcPr>
          <w:p w:rsidR="001258BD" w:rsidRDefault="001258BD" w:rsidP="00E4656F">
            <w:pPr>
              <w:pStyle w:val="BodyText"/>
              <w:tabs>
                <w:tab w:val="left" w:pos="1782"/>
              </w:tabs>
              <w:ind w:left="1238"/>
              <w:jc w:val="left"/>
            </w:pPr>
            <w:r>
              <w:t>No.</w:t>
            </w:r>
            <w:r>
              <w:tab/>
              <w:t>310047</w:t>
            </w:r>
          </w:p>
          <w:p w:rsidR="001258BD" w:rsidRDefault="00E6462B" w:rsidP="00E4656F">
            <w:pPr>
              <w:pStyle w:val="BodyText"/>
              <w:ind w:left="2145" w:hanging="907"/>
              <w:jc w:val="left"/>
            </w:pPr>
            <w:r>
              <w:fldChar w:fldCharType="begin">
                <w:ffData>
                  <w:name w:val="LCtName"/>
                  <w:enabled/>
                  <w:calcOnExit w:val="0"/>
                  <w:textInput/>
                </w:ffData>
              </w:fldChar>
            </w:r>
            <w:bookmarkStart w:id="2" w:name="LCtName"/>
            <w:r w:rsidR="001258BD">
              <w:instrText xml:space="preserve"> FORMTEXT </w:instrText>
            </w:r>
            <w:r>
              <w:fldChar w:fldCharType="separate"/>
            </w:r>
            <w:r w:rsidR="001258BD">
              <w:rPr>
                <w:noProof/>
              </w:rPr>
              <w:t> </w:t>
            </w:r>
            <w:r w:rsidR="001258BD">
              <w:rPr>
                <w:noProof/>
              </w:rPr>
              <w:t> </w:t>
            </w:r>
            <w:r w:rsidR="001258BD">
              <w:rPr>
                <w:noProof/>
              </w:rPr>
              <w:t> </w:t>
            </w:r>
            <w:r w:rsidR="001258BD">
              <w:rPr>
                <w:noProof/>
              </w:rPr>
              <w:t> </w:t>
            </w:r>
            <w:r w:rsidR="001258BD">
              <w:rPr>
                <w:noProof/>
              </w:rPr>
              <w:t> </w:t>
            </w:r>
            <w:r>
              <w:fldChar w:fldCharType="end"/>
            </w:r>
            <w:bookmarkEnd w:id="2"/>
          </w:p>
        </w:tc>
      </w:tr>
      <w:tr w:rsidR="001258BD">
        <w:tc>
          <w:tcPr>
            <w:tcW w:w="5238" w:type="dxa"/>
          </w:tcPr>
          <w:p w:rsidR="001258BD" w:rsidRDefault="001258BD" w:rsidP="00E4656F">
            <w:pPr>
              <w:pStyle w:val="BodyText"/>
              <w:tabs>
                <w:tab w:val="left" w:pos="1440"/>
              </w:tabs>
              <w:ind w:right="72"/>
              <w:jc w:val="left"/>
            </w:pPr>
            <w:r>
              <w:t xml:space="preserve">SECRETARY OF STATE and BOARD OF STATE </w:t>
            </w:r>
            <w:r w:rsidR="003F4A7E">
              <w:t>CANVASSERS</w:t>
            </w:r>
            <w:r>
              <w:t>,</w:t>
            </w:r>
          </w:p>
          <w:p w:rsidR="001258BD" w:rsidRDefault="001258BD" w:rsidP="00E4656F">
            <w:pPr>
              <w:pStyle w:val="BodyText"/>
            </w:pPr>
          </w:p>
        </w:tc>
        <w:tc>
          <w:tcPr>
            <w:tcW w:w="4680" w:type="dxa"/>
          </w:tcPr>
          <w:p w:rsidR="001258BD" w:rsidRDefault="001258BD" w:rsidP="00E4656F">
            <w:pPr>
              <w:pStyle w:val="BodyText"/>
              <w:ind w:left="2145" w:hanging="907"/>
              <w:jc w:val="left"/>
            </w:pPr>
          </w:p>
        </w:tc>
      </w:tr>
      <w:tr w:rsidR="001258BD">
        <w:tc>
          <w:tcPr>
            <w:tcW w:w="5238" w:type="dxa"/>
            <w:tcBorders>
              <w:bottom w:val="single" w:sz="4" w:space="0" w:color="auto"/>
            </w:tcBorders>
          </w:tcPr>
          <w:p w:rsidR="001258BD" w:rsidRDefault="001258BD" w:rsidP="00E4656F">
            <w:pPr>
              <w:pStyle w:val="BodyText"/>
              <w:tabs>
                <w:tab w:val="left" w:pos="1440"/>
              </w:tabs>
              <w:ind w:left="1440" w:right="72" w:hanging="1440"/>
              <w:jc w:val="left"/>
            </w:pPr>
            <w:r>
              <w:tab/>
              <w:t>Defendant</w:t>
            </w:r>
            <w:r w:rsidR="0071446E">
              <w:t>s</w:t>
            </w:r>
            <w:r>
              <w:t>,</w:t>
            </w:r>
          </w:p>
          <w:p w:rsidR="001258BD" w:rsidRDefault="001258BD" w:rsidP="00E4656F">
            <w:pPr>
              <w:pStyle w:val="BodyText"/>
              <w:tabs>
                <w:tab w:val="left" w:pos="1440"/>
              </w:tabs>
              <w:jc w:val="left"/>
            </w:pPr>
          </w:p>
          <w:p w:rsidR="001258BD" w:rsidRDefault="001258BD" w:rsidP="00E4656F">
            <w:pPr>
              <w:pStyle w:val="BodyText"/>
              <w:tabs>
                <w:tab w:val="left" w:pos="1440"/>
              </w:tabs>
              <w:jc w:val="left"/>
            </w:pPr>
            <w:r>
              <w:t>and</w:t>
            </w:r>
          </w:p>
          <w:p w:rsidR="001258BD" w:rsidRDefault="001258BD" w:rsidP="00E4656F">
            <w:pPr>
              <w:pStyle w:val="BodyText"/>
            </w:pPr>
          </w:p>
          <w:p w:rsidR="001258BD" w:rsidRDefault="001258BD" w:rsidP="00E4656F">
            <w:pPr>
              <w:pStyle w:val="BodyText"/>
              <w:tabs>
                <w:tab w:val="left" w:pos="1440"/>
              </w:tabs>
              <w:ind w:right="72"/>
              <w:jc w:val="left"/>
            </w:pPr>
            <w:r>
              <w:t>CITIZENS FOR FISCAL RESPONSIBILITY,</w:t>
            </w:r>
          </w:p>
          <w:p w:rsidR="001258BD" w:rsidRDefault="001258BD" w:rsidP="00E4656F">
            <w:pPr>
              <w:pStyle w:val="BodyText"/>
            </w:pPr>
          </w:p>
          <w:p w:rsidR="001258BD" w:rsidRDefault="001258BD" w:rsidP="00E4656F">
            <w:pPr>
              <w:pStyle w:val="BodyText"/>
              <w:tabs>
                <w:tab w:val="left" w:pos="1440"/>
              </w:tabs>
              <w:ind w:left="1440" w:right="72" w:hanging="1440"/>
              <w:jc w:val="left"/>
            </w:pPr>
            <w:r>
              <w:tab/>
            </w:r>
            <w:proofErr w:type="spellStart"/>
            <w:r>
              <w:t>Intervenor</w:t>
            </w:r>
            <w:proofErr w:type="spellEnd"/>
            <w:r w:rsidR="00712E3E">
              <w:t>-Defendant</w:t>
            </w:r>
            <w:r>
              <w:t>.</w:t>
            </w:r>
          </w:p>
          <w:p w:rsidR="001258BD" w:rsidRDefault="001258BD" w:rsidP="00E4656F">
            <w:pPr>
              <w:pStyle w:val="BodyText"/>
              <w:tabs>
                <w:tab w:val="left" w:pos="1440"/>
              </w:tabs>
              <w:ind w:left="1440" w:right="72" w:hanging="1440"/>
              <w:jc w:val="left"/>
            </w:pPr>
          </w:p>
          <w:p w:rsidR="001258BD" w:rsidRDefault="001258BD" w:rsidP="00E4656F">
            <w:pPr>
              <w:pStyle w:val="BodyText"/>
            </w:pPr>
          </w:p>
        </w:tc>
        <w:tc>
          <w:tcPr>
            <w:tcW w:w="4680" w:type="dxa"/>
          </w:tcPr>
          <w:p w:rsidR="001258BD" w:rsidRDefault="001258BD" w:rsidP="00E4656F">
            <w:pPr>
              <w:pStyle w:val="BodyText"/>
              <w:ind w:left="1238"/>
              <w:jc w:val="left"/>
            </w:pPr>
          </w:p>
        </w:tc>
      </w:tr>
    </w:tbl>
    <w:p w:rsidR="00AF6A37" w:rsidRDefault="00AF6A37" w:rsidP="00E4656F">
      <w:pPr>
        <w:pStyle w:val="BodyText"/>
      </w:pPr>
    </w:p>
    <w:p w:rsidR="00AF6A37" w:rsidRDefault="00AF6A37" w:rsidP="00E4656F">
      <w:pPr>
        <w:pStyle w:val="BodyText"/>
      </w:pPr>
      <w:bookmarkStart w:id="3" w:name="Before"/>
      <w:bookmarkEnd w:id="1"/>
      <w:r>
        <w:t>Before</w:t>
      </w:r>
      <w:bookmarkEnd w:id="3"/>
      <w:r>
        <w:t xml:space="preserve">:  </w:t>
      </w:r>
      <w:r w:rsidR="00B531FD">
        <w:rPr>
          <w:smallCaps/>
        </w:rPr>
        <w:t>Wilder</w:t>
      </w:r>
      <w:r>
        <w:t xml:space="preserve">, </w:t>
      </w:r>
      <w:proofErr w:type="spellStart"/>
      <w:r w:rsidR="003F4A7E">
        <w:t>P</w:t>
      </w:r>
      <w:r>
        <w:t>.J.</w:t>
      </w:r>
      <w:proofErr w:type="spellEnd"/>
      <w:r>
        <w:t xml:space="preserve">, and </w:t>
      </w:r>
      <w:proofErr w:type="spellStart"/>
      <w:r w:rsidR="00B531FD">
        <w:t>K</w:t>
      </w:r>
      <w:r w:rsidR="003F4A7E">
        <w:t>.</w:t>
      </w:r>
      <w:r w:rsidR="00B531FD">
        <w:t>F</w:t>
      </w:r>
      <w:r w:rsidR="003F4A7E">
        <w:t>.</w:t>
      </w:r>
      <w:proofErr w:type="spellEnd"/>
      <w:r w:rsidR="00B531FD">
        <w:t xml:space="preserve"> </w:t>
      </w:r>
      <w:r w:rsidR="00B531FD">
        <w:rPr>
          <w:smallCaps/>
        </w:rPr>
        <w:t>Kelly</w:t>
      </w:r>
      <w:r>
        <w:t xml:space="preserve"> and </w:t>
      </w:r>
      <w:r w:rsidR="00B531FD">
        <w:rPr>
          <w:smallCaps/>
        </w:rPr>
        <w:t>Riordan</w:t>
      </w:r>
      <w:r>
        <w:t xml:space="preserve">, </w:t>
      </w:r>
      <w:proofErr w:type="spellStart"/>
      <w:r>
        <w:t>JJ</w:t>
      </w:r>
      <w:proofErr w:type="spellEnd"/>
      <w:r>
        <w:t>.</w:t>
      </w:r>
    </w:p>
    <w:p w:rsidR="00AF6A37" w:rsidRDefault="00AF6A37" w:rsidP="00E4656F">
      <w:pPr>
        <w:pStyle w:val="BodyText"/>
      </w:pPr>
    </w:p>
    <w:p w:rsidR="00AF6A37" w:rsidRDefault="0045644C" w:rsidP="00E4656F">
      <w:pPr>
        <w:pStyle w:val="Single"/>
      </w:pPr>
      <w:proofErr w:type="gramStart"/>
      <w:r>
        <w:rPr>
          <w:smallCaps/>
        </w:rPr>
        <w:t>P</w:t>
      </w:r>
      <w:r w:rsidR="00B24433">
        <w:rPr>
          <w:smallCaps/>
        </w:rPr>
        <w:t xml:space="preserve">er </w:t>
      </w:r>
      <w:r>
        <w:rPr>
          <w:smallCaps/>
        </w:rPr>
        <w:t>C</w:t>
      </w:r>
      <w:r w:rsidR="00B24433">
        <w:rPr>
          <w:smallCaps/>
        </w:rPr>
        <w:t>uriam</w:t>
      </w:r>
      <w:r w:rsidR="00AF6A37">
        <w:t>.</w:t>
      </w:r>
      <w:proofErr w:type="gramEnd"/>
    </w:p>
    <w:p w:rsidR="001E5F2C" w:rsidRDefault="00AF6A37" w:rsidP="00E4656F">
      <w:pPr>
        <w:pStyle w:val="Standard"/>
        <w:spacing w:before="240" w:line="240" w:lineRule="auto"/>
      </w:pPr>
      <w:r>
        <w:tab/>
      </w:r>
      <w:r w:rsidR="00841832">
        <w:t>In t</w:t>
      </w:r>
      <w:r w:rsidR="00695840">
        <w:t xml:space="preserve">his original action, plaintiff Stand Up For Democracy seeks a writ of mandamus against </w:t>
      </w:r>
      <w:proofErr w:type="gramStart"/>
      <w:r w:rsidR="00695840">
        <w:t>defendants</w:t>
      </w:r>
      <w:proofErr w:type="gramEnd"/>
      <w:r w:rsidR="00695840">
        <w:t xml:space="preserve"> </w:t>
      </w:r>
      <w:r w:rsidR="00695840" w:rsidRPr="00377F6A">
        <w:t>Michigan Secretary of State (the Secretary) and the Michigan Board of State Canvassers (the Board).</w:t>
      </w:r>
      <w:r w:rsidR="00695840">
        <w:t xml:space="preserve">  </w:t>
      </w:r>
      <w:r w:rsidR="00B7499B">
        <w:t>Plaintiff urges this Court to direct that defendants certify for placement on the November 2012 general election ballot the referendum of Public Act 4 of 2011, the Local Government and School District Ac</w:t>
      </w:r>
      <w:r w:rsidR="00CB7B4F">
        <w:t>c</w:t>
      </w:r>
      <w:r w:rsidR="00B7499B">
        <w:t xml:space="preserve">ountability Act, commonly known as the “Emergency Financial Manager Law.”  </w:t>
      </w:r>
      <w:r w:rsidR="00E71B13">
        <w:t>Under</w:t>
      </w:r>
      <w:r w:rsidR="00695840">
        <w:t xml:space="preserve"> this Court’s decision in </w:t>
      </w:r>
      <w:r w:rsidR="00695840">
        <w:rPr>
          <w:i/>
        </w:rPr>
        <w:t>Bloomfield Charter Twp v Oakland Co Clerk</w:t>
      </w:r>
      <w:r w:rsidR="00695840" w:rsidRPr="00E60584">
        <w:t>,</w:t>
      </w:r>
      <w:r w:rsidR="00695840" w:rsidRPr="00F246F7">
        <w:t xml:space="preserve"> </w:t>
      </w:r>
      <w:r w:rsidR="00695840">
        <w:t xml:space="preserve">253 Mich App 1; 654 NW2d 610 (2002), </w:t>
      </w:r>
      <w:r w:rsidR="00E71B13">
        <w:t xml:space="preserve">which </w:t>
      </w:r>
      <w:r w:rsidR="001B5805">
        <w:t>controls the outcome</w:t>
      </w:r>
      <w:r w:rsidR="00695840">
        <w:t xml:space="preserve"> in this case, plaintiff’s request for a writ of mandamus is warranted.  However, </w:t>
      </w:r>
      <w:r w:rsidR="00AF079D">
        <w:t xml:space="preserve">for </w:t>
      </w:r>
      <w:r w:rsidR="001B5805">
        <w:t xml:space="preserve">the </w:t>
      </w:r>
      <w:r w:rsidR="00AF079D">
        <w:t xml:space="preserve">reasons stated below, </w:t>
      </w:r>
      <w:r w:rsidR="00695840">
        <w:t xml:space="preserve">we conclude that </w:t>
      </w:r>
      <w:r w:rsidR="00FC4ADF" w:rsidRPr="00FC4ADF">
        <w:rPr>
          <w:i/>
        </w:rPr>
        <w:t>Bloomfield</w:t>
      </w:r>
      <w:r w:rsidR="00695840">
        <w:t xml:space="preserve"> was wrongly decided</w:t>
      </w:r>
      <w:r w:rsidR="0067134C">
        <w:t xml:space="preserve">, and </w:t>
      </w:r>
      <w:r w:rsidR="00AF079D">
        <w:t xml:space="preserve">we </w:t>
      </w:r>
      <w:r w:rsidR="00695840">
        <w:t xml:space="preserve">apply and follow it only because we are required to do so under </w:t>
      </w:r>
      <w:r w:rsidR="00695840" w:rsidRPr="00377F6A">
        <w:t>MCR 7.215(J)(1)</w:t>
      </w:r>
      <w:r w:rsidR="00695840">
        <w:t xml:space="preserve">.  </w:t>
      </w:r>
      <w:r w:rsidR="001E5F2C" w:rsidRPr="002C30AD">
        <w:t>Therefore</w:t>
      </w:r>
      <w:r w:rsidR="00695840">
        <w:t xml:space="preserve">, </w:t>
      </w:r>
      <w:r w:rsidR="00695840" w:rsidRPr="00377F6A">
        <w:t>in</w:t>
      </w:r>
      <w:r w:rsidR="00695840">
        <w:t xml:space="preserve"> </w:t>
      </w:r>
      <w:r w:rsidR="00695840" w:rsidRPr="00377F6A">
        <w:t>accordance with MCR 7.215(J</w:t>
      </w:r>
      <w:proofErr w:type="gramStart"/>
      <w:r w:rsidR="00695840" w:rsidRPr="00377F6A">
        <w:t>)(</w:t>
      </w:r>
      <w:proofErr w:type="gramEnd"/>
      <w:r w:rsidR="00695840" w:rsidRPr="00377F6A">
        <w:t>2)</w:t>
      </w:r>
      <w:r w:rsidR="00695840">
        <w:t xml:space="preserve">, we </w:t>
      </w:r>
      <w:r w:rsidR="00695840" w:rsidRPr="00377F6A">
        <w:t>call for the convening of a special panel of this Court pursuant to MCR</w:t>
      </w:r>
      <w:r w:rsidR="00695840">
        <w:t xml:space="preserve"> </w:t>
      </w:r>
      <w:r w:rsidR="00695840" w:rsidRPr="00377F6A">
        <w:t>7.215(J)(3).</w:t>
      </w:r>
      <w:r w:rsidR="005A62E8">
        <w:t xml:space="preserve">  This opinion is given routine issuance pursuant to MCR 7.215(F</w:t>
      </w:r>
      <w:proofErr w:type="gramStart"/>
      <w:r w:rsidR="005A62E8">
        <w:t>)(</w:t>
      </w:r>
      <w:proofErr w:type="gramEnd"/>
      <w:r w:rsidR="005A62E8">
        <w:t>1), and ex</w:t>
      </w:r>
      <w:r w:rsidR="00B7499B">
        <w:t>ecution</w:t>
      </w:r>
      <w:r w:rsidR="005A62E8">
        <w:t xml:space="preserve"> is stayed pending the poll of the judges of this Court pursuant to MCR 7.215(J)(3)(a)</w:t>
      </w:r>
      <w:r w:rsidR="00DA42FF">
        <w:t>.</w:t>
      </w:r>
    </w:p>
    <w:p w:rsidR="001F4F1F" w:rsidRDefault="00974F8F" w:rsidP="00E4656F">
      <w:pPr>
        <w:pStyle w:val="Standard"/>
        <w:spacing w:line="240" w:lineRule="auto"/>
        <w:jc w:val="center"/>
      </w:pPr>
      <w:r>
        <w:t>I</w:t>
      </w:r>
    </w:p>
    <w:p w:rsidR="00B7499B" w:rsidRDefault="00A017EE" w:rsidP="00E4656F">
      <w:pPr>
        <w:pStyle w:val="Standard"/>
        <w:tabs>
          <w:tab w:val="left" w:pos="720"/>
        </w:tabs>
        <w:spacing w:line="240" w:lineRule="auto"/>
        <w:jc w:val="center"/>
      </w:pPr>
      <w:r>
        <w:t>A</w:t>
      </w:r>
    </w:p>
    <w:p w:rsidR="00107906" w:rsidRDefault="00A607DE" w:rsidP="00E4656F">
      <w:pPr>
        <w:pStyle w:val="Standard"/>
        <w:spacing w:line="240" w:lineRule="auto"/>
      </w:pPr>
      <w:r>
        <w:lastRenderedPageBreak/>
        <w:tab/>
        <w:t>In early 2011, the Michigan Legislature passed, and the Governor signed into law, Public Act 4 of 2011 (the Act)</w:t>
      </w:r>
      <w:r w:rsidR="001E5F2C">
        <w:t>.  The Act</w:t>
      </w:r>
      <w:r>
        <w:t>, which has the purpose of assuring the fiscal accountability of local government, including school districts</w:t>
      </w:r>
      <w:r w:rsidR="001E5F2C">
        <w:t>,</w:t>
      </w:r>
      <w:r>
        <w:t xml:space="preserve"> provides for the management and control of local governments’ finances in financial emergencies.  Among other things, the Act sets forth the duties of various officials, including the powers and duties of an emergency manager.  The Act became effective on March 16, 2011.  See MCL 141.1501 </w:t>
      </w:r>
      <w:r w:rsidRPr="00266A77">
        <w:rPr>
          <w:i/>
        </w:rPr>
        <w:t>et seq</w:t>
      </w:r>
      <w:r>
        <w:t>.</w:t>
      </w:r>
    </w:p>
    <w:p w:rsidR="00107906" w:rsidRDefault="00A607DE" w:rsidP="00E4656F">
      <w:pPr>
        <w:pStyle w:val="Standard"/>
        <w:spacing w:line="240" w:lineRule="auto"/>
      </w:pPr>
      <w:r>
        <w:tab/>
        <w:t xml:space="preserve">The Act replaced 1990 Public Act 72, MCL 141.1201 </w:t>
      </w:r>
      <w:r w:rsidRPr="00CF18B4">
        <w:rPr>
          <w:i/>
        </w:rPr>
        <w:t>et seq.</w:t>
      </w:r>
      <w:r>
        <w:t>, which also described the duties of emergency managers.  It is undisputed that the Act grants broader powers to emergency managers than did 1990 PA 72.</w:t>
      </w:r>
    </w:p>
    <w:p w:rsidR="001F4F1F" w:rsidRDefault="00A017EE" w:rsidP="00E4656F">
      <w:pPr>
        <w:pStyle w:val="Standard"/>
        <w:tabs>
          <w:tab w:val="left" w:pos="720"/>
        </w:tabs>
        <w:spacing w:line="240" w:lineRule="auto"/>
        <w:jc w:val="center"/>
      </w:pPr>
      <w:r>
        <w:t>B</w:t>
      </w:r>
    </w:p>
    <w:p w:rsidR="00107906" w:rsidRDefault="00A607DE" w:rsidP="00E4656F">
      <w:pPr>
        <w:pStyle w:val="Standard"/>
        <w:spacing w:line="240" w:lineRule="auto"/>
      </w:pPr>
      <w:r>
        <w:tab/>
        <w:t xml:space="preserve">The Michigan Constitution </w:t>
      </w:r>
      <w:r w:rsidRPr="00AF69E7">
        <w:t xml:space="preserve">reserves to </w:t>
      </w:r>
      <w:r>
        <w:t xml:space="preserve">Michigan </w:t>
      </w:r>
      <w:r w:rsidRPr="00AF69E7">
        <w:t>voters the power of referendum to approve or reject a newly enacted law:</w:t>
      </w:r>
    </w:p>
    <w:p w:rsidR="001E1B7A" w:rsidRDefault="00E60584" w:rsidP="00E4656F">
      <w:pPr>
        <w:pStyle w:val="BlockText"/>
      </w:pPr>
      <w:r>
        <w:tab/>
      </w:r>
      <w:r w:rsidR="00A607DE" w:rsidRPr="00AF69E7">
        <w:t xml:space="preserve">The people reserve to themselves the power to propose laws and to enact and reject laws, called the initiative, and the power to approve or reject laws enacted by the legislature, called the referendum. </w:t>
      </w:r>
      <w:r>
        <w:t xml:space="preserve"> </w:t>
      </w:r>
      <w:r w:rsidR="00A607DE" w:rsidRPr="00AF69E7">
        <w:t xml:space="preserve">The power of initiative extends only to laws which the legislature may enact under this constitution. </w:t>
      </w:r>
      <w:r>
        <w:t xml:space="preserve"> </w:t>
      </w:r>
      <w:r w:rsidR="00A607DE" w:rsidRPr="00AF69E7">
        <w:t xml:space="preserve">The power of referendum does not extend to acts making appropriations for state institutions or to meet deficiencies in state funds and must be invoked in the manner prescribed by law within 90 days following the final adjournment of the legislative session at which the law was enacted. </w:t>
      </w:r>
      <w:r>
        <w:t xml:space="preserve"> </w:t>
      </w:r>
      <w:r w:rsidR="00A607DE" w:rsidRPr="00AF69E7">
        <w:t>To invoke the initiative or referendum, petitions signed by a number of registered electors, not less than eight percent for initiative and five percent for referendum of the total vote cast for all candidates for governor at the last preceding general election at which a governor was elected shall be required</w:t>
      </w:r>
      <w:r>
        <w:t xml:space="preserve">. . . . </w:t>
      </w:r>
      <w:r w:rsidR="00A607DE">
        <w:t xml:space="preserve"> </w:t>
      </w:r>
      <w:proofErr w:type="gramStart"/>
      <w:r w:rsidR="00A607DE">
        <w:t>[</w:t>
      </w:r>
      <w:r w:rsidR="00A607DE" w:rsidRPr="00AF69E7">
        <w:t>Const 1963, art 2, §</w:t>
      </w:r>
      <w:r>
        <w:t> </w:t>
      </w:r>
      <w:r w:rsidR="00A607DE" w:rsidRPr="00AF69E7">
        <w:t>9</w:t>
      </w:r>
      <w:r w:rsidR="00A607DE">
        <w:t>.]</w:t>
      </w:r>
      <w:proofErr w:type="gramEnd"/>
    </w:p>
    <w:p w:rsidR="00107906" w:rsidRDefault="00352ED4" w:rsidP="00E4656F">
      <w:pPr>
        <w:pStyle w:val="Standard"/>
        <w:spacing w:line="240" w:lineRule="auto"/>
      </w:pPr>
      <w:r>
        <w:tab/>
      </w:r>
      <w:r w:rsidR="00E71B13">
        <w:t xml:space="preserve">Regarding the circulation of referendum petitions, the state constitution </w:t>
      </w:r>
      <w:r w:rsidR="000F155E">
        <w:t xml:space="preserve">also </w:t>
      </w:r>
      <w:r w:rsidR="00E71B13">
        <w:t>provides that “[a]</w:t>
      </w:r>
      <w:proofErr w:type="spellStart"/>
      <w:r w:rsidR="00E71B13">
        <w:t>ny</w:t>
      </w:r>
      <w:proofErr w:type="spellEnd"/>
      <w:r w:rsidR="00E71B13">
        <w:t xml:space="preserve"> such </w:t>
      </w:r>
      <w:r w:rsidR="00FC4ADF" w:rsidRPr="00FC4ADF">
        <w:t>petition</w:t>
      </w:r>
      <w:r w:rsidR="00E71B13">
        <w:t xml:space="preserve"> shall be in the form, and shall be signed and circulated in such manner, as prescribed by law.”  </w:t>
      </w:r>
      <w:proofErr w:type="gramStart"/>
      <w:r w:rsidR="00E71B13">
        <w:t>Const 1963, art 12, § 2</w:t>
      </w:r>
      <w:r w:rsidR="000F155E">
        <w:t>.</w:t>
      </w:r>
      <w:proofErr w:type="gramEnd"/>
      <w:r w:rsidR="00B7499B">
        <w:rPr>
          <w:rStyle w:val="FootnoteReference"/>
        </w:rPr>
        <w:footnoteReference w:id="2"/>
      </w:r>
      <w:r w:rsidR="000F155E">
        <w:t xml:space="preserve">  The </w:t>
      </w:r>
      <w:r w:rsidR="00E2219E">
        <w:t xml:space="preserve">required </w:t>
      </w:r>
      <w:r w:rsidR="000F155E">
        <w:t>form of referendum and other petitions</w:t>
      </w:r>
      <w:r w:rsidR="00E2219E">
        <w:t>,</w:t>
      </w:r>
      <w:r w:rsidR="000F155E">
        <w:t xml:space="preserve"> prescribed by </w:t>
      </w:r>
      <w:r w:rsidR="00E2219E">
        <w:t xml:space="preserve">law as instructed by our Constitution, is dictated by </w:t>
      </w:r>
      <w:r w:rsidR="000F155E">
        <w:t>MCL 168.544d</w:t>
      </w:r>
      <w:r w:rsidR="00CB7B4F">
        <w:t>, which</w:t>
      </w:r>
      <w:r w:rsidR="000F155E">
        <w:t xml:space="preserve"> provides:</w:t>
      </w:r>
    </w:p>
    <w:p w:rsidR="00E2219E" w:rsidRDefault="001E1AEC" w:rsidP="00E4656F">
      <w:pPr>
        <w:pStyle w:val="BlockText"/>
      </w:pPr>
      <w:r>
        <w:tab/>
      </w:r>
      <w:r w:rsidR="000F155E" w:rsidRPr="00DD0AB9">
        <w:t xml:space="preserve">Nominating petitions for the offices under this act and petitions for a constitutional amendment, initiation of legislation, or referendum of legislation or a local proposal may be circulated on a countywide form. </w:t>
      </w:r>
      <w:r>
        <w:t xml:space="preserve"> </w:t>
      </w:r>
      <w:r w:rsidR="00FC4ADF" w:rsidRPr="00FC4ADF">
        <w:rPr>
          <w:i/>
        </w:rPr>
        <w:t>Petitions circulated countywide shall be on a form prescribed by the secretary of state</w:t>
      </w:r>
      <w:r w:rsidR="000F155E" w:rsidRPr="00DD0AB9">
        <w:t xml:space="preserve">, which form shall be substantially as provided in sections 482, 544a, or 544c, whichever is </w:t>
      </w:r>
      <w:r w:rsidR="000F155E" w:rsidRPr="00DD0AB9">
        <w:lastRenderedPageBreak/>
        <w:t xml:space="preserve">applicable. </w:t>
      </w:r>
      <w:r>
        <w:t xml:space="preserve"> </w:t>
      </w:r>
      <w:r w:rsidR="000F155E" w:rsidRPr="00DD0AB9">
        <w:t xml:space="preserve">The secretary of state may provide for a petition form larger than 8-1/2 inches by 13 inches and shall provide for identification of the city or township in which the person signing the petition is registered. </w:t>
      </w:r>
      <w:r>
        <w:t xml:space="preserve"> </w:t>
      </w:r>
      <w:r w:rsidR="000F155E" w:rsidRPr="00DD0AB9">
        <w:t xml:space="preserve">The certificate of the circulator may be on the reverse side of the petition. </w:t>
      </w:r>
      <w:r>
        <w:t xml:space="preserve"> </w:t>
      </w:r>
      <w:r w:rsidR="000F155E" w:rsidRPr="00DD0AB9">
        <w:t>This section does not prohibit the circulation of petitions on another form prescribed by this act.</w:t>
      </w:r>
      <w:r w:rsidR="000F155E">
        <w:t xml:space="preserve">  </w:t>
      </w:r>
      <w:r>
        <w:t>[</w:t>
      </w:r>
      <w:r w:rsidR="003C6461">
        <w:t>Emphasis added.</w:t>
      </w:r>
      <w:r>
        <w:t>]</w:t>
      </w:r>
    </w:p>
    <w:p w:rsidR="000F155E" w:rsidRDefault="000F155E" w:rsidP="00E4656F">
      <w:pPr>
        <w:pStyle w:val="Standard"/>
        <w:tabs>
          <w:tab w:val="left" w:pos="720"/>
        </w:tabs>
        <w:spacing w:line="240" w:lineRule="auto"/>
      </w:pPr>
      <w:r>
        <w:t>MCL 168.482(2)</w:t>
      </w:r>
      <w:r w:rsidR="001E1AEC">
        <w:t>, in turn,</w:t>
      </w:r>
      <w:r>
        <w:t xml:space="preserve"> provides:</w:t>
      </w:r>
    </w:p>
    <w:p w:rsidR="000F155E" w:rsidRDefault="000F155E" w:rsidP="00E4656F">
      <w:pPr>
        <w:pStyle w:val="BlockText"/>
      </w:pPr>
      <w:r>
        <w:t xml:space="preserve">(2) If the measure to be submitted proposes </w:t>
      </w:r>
      <w:proofErr w:type="gramStart"/>
      <w:r>
        <w:t>a</w:t>
      </w:r>
      <w:r w:rsidR="00031E14">
        <w:t> .</w:t>
      </w:r>
      <w:proofErr w:type="gramEnd"/>
      <w:r w:rsidR="00031E14">
        <w:t> . .</w:t>
      </w:r>
      <w:r>
        <w:t xml:space="preserve"> referendum of legislation, the heading of each part of the petition </w:t>
      </w:r>
      <w:r w:rsidR="00C149A6" w:rsidRPr="00C149A6">
        <w:rPr>
          <w:i/>
        </w:rPr>
        <w:t>shall be prepared in the following form and</w:t>
      </w:r>
      <w:r>
        <w:t xml:space="preserve"> </w:t>
      </w:r>
      <w:r w:rsidR="00C40765" w:rsidRPr="00C40765">
        <w:rPr>
          <w:i/>
        </w:rPr>
        <w:t>printed in capital letters in 14-point boldfaced type</w:t>
      </w:r>
      <w:r>
        <w:t>:</w:t>
      </w:r>
    </w:p>
    <w:p w:rsidR="000F155E" w:rsidRDefault="000F155E" w:rsidP="00E4656F">
      <w:pPr>
        <w:pStyle w:val="BlockText"/>
        <w:jc w:val="center"/>
      </w:pPr>
      <w:r>
        <w:t>* * *</w:t>
      </w:r>
    </w:p>
    <w:p w:rsidR="000F155E" w:rsidRDefault="000F155E" w:rsidP="00E4656F">
      <w:pPr>
        <w:pStyle w:val="BlockText"/>
        <w:jc w:val="center"/>
      </w:pPr>
      <w:r>
        <w:t>REFERENDUM OF LEGISLATION</w:t>
      </w:r>
    </w:p>
    <w:p w:rsidR="000F155E" w:rsidRDefault="000F155E" w:rsidP="00E4656F">
      <w:pPr>
        <w:pStyle w:val="BlockText"/>
        <w:jc w:val="center"/>
      </w:pPr>
      <w:r>
        <w:t>PROPOSED BY INITIATIVE PETITION</w:t>
      </w:r>
    </w:p>
    <w:p w:rsidR="000F155E" w:rsidRDefault="000F155E" w:rsidP="00E4656F">
      <w:pPr>
        <w:pStyle w:val="BlockText"/>
      </w:pPr>
      <w:r>
        <w:t xml:space="preserve">[MCL 168.482(2) (emphasis </w:t>
      </w:r>
      <w:r w:rsidR="001E1AEC">
        <w:t>added</w:t>
      </w:r>
      <w:r>
        <w:t>).]</w:t>
      </w:r>
      <w:r w:rsidR="00B7499B">
        <w:rPr>
          <w:rStyle w:val="FootnoteReference"/>
        </w:rPr>
        <w:footnoteReference w:id="3"/>
      </w:r>
    </w:p>
    <w:p w:rsidR="00E60584" w:rsidRDefault="00E2219E" w:rsidP="00E4656F">
      <w:pPr>
        <w:pStyle w:val="Standard"/>
        <w:spacing w:line="240" w:lineRule="auto"/>
      </w:pPr>
      <w:r>
        <w:tab/>
        <w:t xml:space="preserve">Pursuant to MCL 168.544d, the Secretary issued </w:t>
      </w:r>
      <w:r w:rsidR="001E1AEC">
        <w:t>a memorandum</w:t>
      </w:r>
      <w:r>
        <w:t xml:space="preserve"> </w:t>
      </w:r>
      <w:r w:rsidR="00036C00">
        <w:t xml:space="preserve">in January 2011 </w:t>
      </w:r>
      <w:r w:rsidR="00955BC8">
        <w:t xml:space="preserve">prescribing the </w:t>
      </w:r>
      <w:r w:rsidR="00841832">
        <w:t xml:space="preserve">requirements for initiative and referendum petitions, including the proper </w:t>
      </w:r>
      <w:r w:rsidR="00955BC8">
        <w:t xml:space="preserve">format, </w:t>
      </w:r>
      <w:r w:rsidR="00841832">
        <w:t xml:space="preserve">the applicable </w:t>
      </w:r>
      <w:r w:rsidR="00955BC8">
        <w:t>deadline</w:t>
      </w:r>
      <w:r w:rsidR="00841832">
        <w:t>s for submission, as well as</w:t>
      </w:r>
      <w:r w:rsidR="00955BC8">
        <w:t xml:space="preserve"> signature</w:t>
      </w:r>
      <w:r w:rsidR="00841832">
        <w:t xml:space="preserve"> and</w:t>
      </w:r>
      <w:r w:rsidR="00955BC8">
        <w:t xml:space="preserve"> circulation requirements.  The memorandum provided that for referendum petitions, 161,305 valid signatures</w:t>
      </w:r>
      <w:r w:rsidR="00955BC8">
        <w:rPr>
          <w:rStyle w:val="FootnoteReference"/>
        </w:rPr>
        <w:footnoteReference w:id="4"/>
      </w:r>
      <w:r w:rsidR="00955BC8">
        <w:t xml:space="preserve"> were required to be filed </w:t>
      </w:r>
      <w:r w:rsidR="00C62EB4">
        <w:t>90 days after the final adjournment of the legislative session at which the law was enacted, and that upon the filing of sufficient valid signatures, the law involved is suspended until the referendum is placed on the next general election ballot for consideration by the state’s voters.</w:t>
      </w:r>
      <w:r w:rsidR="00C62EB4">
        <w:rPr>
          <w:rStyle w:val="FootnoteReference"/>
        </w:rPr>
        <w:footnoteReference w:id="5"/>
      </w:r>
      <w:r w:rsidR="00C62EB4">
        <w:t xml:space="preserve">  </w:t>
      </w:r>
      <w:r w:rsidR="00036C00">
        <w:t xml:space="preserve">The </w:t>
      </w:r>
      <w:r w:rsidR="00C62EB4">
        <w:t xml:space="preserve">Secretary’s </w:t>
      </w:r>
      <w:r w:rsidR="006E2529">
        <w:t>memorandum</w:t>
      </w:r>
      <w:r w:rsidR="00036C00">
        <w:t xml:space="preserve"> </w:t>
      </w:r>
      <w:r w:rsidR="003C6461">
        <w:t xml:space="preserve">also </w:t>
      </w:r>
      <w:r w:rsidR="00036C00">
        <w:t>state</w:t>
      </w:r>
      <w:r w:rsidR="006E2529">
        <w:t>d</w:t>
      </w:r>
      <w:r w:rsidR="00036C00">
        <w:t xml:space="preserve"> in relevant part:</w:t>
      </w:r>
    </w:p>
    <w:p w:rsidR="00036C00" w:rsidRDefault="001103CC" w:rsidP="00E4656F">
      <w:pPr>
        <w:spacing w:after="240"/>
        <w:ind w:left="720" w:right="720"/>
      </w:pPr>
      <w:r>
        <w:lastRenderedPageBreak/>
        <w:tab/>
      </w:r>
      <w:r w:rsidR="00036C00">
        <w:t xml:space="preserve">Michigan election law, MCL 168.544d, grants the Secretary of State the authority </w:t>
      </w:r>
      <w:r w:rsidR="00FC4ADF" w:rsidRPr="00FC4ADF">
        <w:rPr>
          <w:i/>
        </w:rPr>
        <w:t>to prescribe a petition form</w:t>
      </w:r>
      <w:r w:rsidR="00036C00">
        <w:t xml:space="preserve"> for the countywide circulation of initiative and referendum petitions.  MCL 168.544d further provides that </w:t>
      </w:r>
      <w:r w:rsidR="00FC4ADF" w:rsidRPr="00FC4ADF">
        <w:rPr>
          <w:i/>
        </w:rPr>
        <w:t>the prescribed form</w:t>
      </w:r>
      <w:r w:rsidR="00036C00">
        <w:t xml:space="preserve"> must be in substantial compliance with MCL 168.544c and MCL 168.482 – two additional provisions of Michigan election law which address the formatting of petitions.</w:t>
      </w:r>
    </w:p>
    <w:p w:rsidR="00036C00" w:rsidRDefault="001103CC" w:rsidP="00E4656F">
      <w:pPr>
        <w:spacing w:after="240"/>
        <w:ind w:left="720" w:right="720"/>
      </w:pPr>
      <w:r>
        <w:tab/>
      </w:r>
      <w:r w:rsidR="00036C00">
        <w:t xml:space="preserve">As a service to those interested in launching an initiative or referendum petition drive, the Michigan Department of State’s Bureau of Elections offers its staff for consultations on the various petition formatting requirements.  Upon determining through the consultation process that an initiative or referendum petition is properly formatted, it is submitted to the Board of State Canvassers for approval as to form.  While Michigan election law does not require the pre-approval of an initiative or referendum form, </w:t>
      </w:r>
      <w:r w:rsidR="00036C00">
        <w:rPr>
          <w:i/>
        </w:rPr>
        <w:t>such approval greatly reduces the risk that signatures collected on the form will be ruled invalid due to formatting defects</w:t>
      </w:r>
      <w:r>
        <w:t>.</w:t>
      </w:r>
    </w:p>
    <w:p w:rsidR="001103CC" w:rsidRDefault="001103CC" w:rsidP="00E4656F">
      <w:pPr>
        <w:spacing w:after="240"/>
        <w:ind w:left="720" w:right="720"/>
        <w:jc w:val="center"/>
      </w:pPr>
      <w:r>
        <w:t>* * *</w:t>
      </w:r>
    </w:p>
    <w:p w:rsidR="001103CC" w:rsidRDefault="001103CC" w:rsidP="00E4656F">
      <w:pPr>
        <w:spacing w:after="240"/>
        <w:ind w:left="720" w:right="720"/>
      </w:pPr>
      <w:r>
        <w:tab/>
        <w:t>Under Board of State Canvassers’ policy, the attached “Printer’s Affidavit” must accompany an initiative or referendum petition submitted for Board approval.  The petition sponsor is responsible for having the affidavit completed.</w:t>
      </w:r>
    </w:p>
    <w:p w:rsidR="00036C00" w:rsidRPr="00036C00" w:rsidRDefault="001103CC" w:rsidP="00E4656F">
      <w:pPr>
        <w:spacing w:after="240"/>
        <w:ind w:left="720" w:right="720"/>
      </w:pPr>
      <w:r>
        <w:tab/>
      </w:r>
      <w:r w:rsidR="00036C00">
        <w:t xml:space="preserve">A description of the </w:t>
      </w:r>
      <w:r w:rsidR="00FC4ADF" w:rsidRPr="00FC4ADF">
        <w:rPr>
          <w:i/>
        </w:rPr>
        <w:t>prescribed</w:t>
      </w:r>
      <w:r w:rsidR="00036C00">
        <w:t xml:space="preserve"> initiative and referendum petition format and the pertinent provisions of the State Constitution and Michigan election law are included with this informational packet for your reference. </w:t>
      </w:r>
      <w:r>
        <w:t xml:space="preserve"> [</w:t>
      </w:r>
      <w:r w:rsidR="00036C00">
        <w:t>Emphasis added</w:t>
      </w:r>
      <w:r w:rsidR="003C6461">
        <w:t>.</w:t>
      </w:r>
      <w:r>
        <w:t>]</w:t>
      </w:r>
    </w:p>
    <w:p w:rsidR="00107906" w:rsidRDefault="00036C00" w:rsidP="00E4656F">
      <w:pPr>
        <w:pStyle w:val="Standard"/>
        <w:spacing w:line="240" w:lineRule="auto"/>
      </w:pPr>
      <w:r>
        <w:tab/>
      </w:r>
      <w:r w:rsidR="00E90306">
        <w:t>I</w:t>
      </w:r>
      <w:r>
        <w:t>n June 2011, the Secretary issued</w:t>
      </w:r>
      <w:r w:rsidR="00AC51E0">
        <w:t xml:space="preserve"> a </w:t>
      </w:r>
      <w:r w:rsidR="00D55D33">
        <w:t xml:space="preserve">follow-up </w:t>
      </w:r>
      <w:r w:rsidR="00E67B12">
        <w:t>memorandum</w:t>
      </w:r>
      <w:r w:rsidR="00E90306">
        <w:t xml:space="preserve">, which </w:t>
      </w:r>
      <w:r w:rsidR="00AC51E0">
        <w:t>described</w:t>
      </w:r>
      <w:r w:rsidR="00E90306">
        <w:t xml:space="preserve"> in detail the “prescribed </w:t>
      </w:r>
      <w:r>
        <w:t>format</w:t>
      </w:r>
      <w:r w:rsidR="00E90306">
        <w:t>”</w:t>
      </w:r>
      <w:r>
        <w:t xml:space="preserve"> for initiative and referendum petitions.  </w:t>
      </w:r>
      <w:r w:rsidR="004248F4">
        <w:t xml:space="preserve">Section I of the June 2011 </w:t>
      </w:r>
      <w:r w:rsidR="00E90306">
        <w:t>document</w:t>
      </w:r>
      <w:r w:rsidR="004248F4">
        <w:t xml:space="preserve"> states </w:t>
      </w:r>
      <w:r w:rsidR="00C64F78">
        <w:t xml:space="preserve">in pertinent part </w:t>
      </w:r>
      <w:r w:rsidR="00E90306">
        <w:t>that</w:t>
      </w:r>
      <w:r w:rsidR="003C6461">
        <w:t xml:space="preserve"> referendum petitions </w:t>
      </w:r>
      <w:r w:rsidR="00E90306">
        <w:t xml:space="preserve">“shall” contain “[t]he full text of the legislation which would be affected by the referendum.”  This full text is to appear “at the top of the signature side of the petition sheet after an introduction which identifies the legislation involved.” </w:t>
      </w:r>
      <w:r w:rsidR="003C6461">
        <w:t xml:space="preserve"> However,</w:t>
      </w:r>
    </w:p>
    <w:p w:rsidR="003C6461" w:rsidRDefault="003C6461" w:rsidP="00E4656F">
      <w:pPr>
        <w:tabs>
          <w:tab w:val="left" w:pos="720"/>
        </w:tabs>
        <w:spacing w:after="240"/>
        <w:ind w:left="720" w:right="720"/>
      </w:pPr>
      <w:r>
        <w:t>[</w:t>
      </w:r>
      <w:proofErr w:type="spellStart"/>
      <w:r>
        <w:t>i</w:t>
      </w:r>
      <w:proofErr w:type="spellEnd"/>
      <w:r>
        <w:t>]f there is not sufficient space at the top of the signature side of the petition sheet to print the legislation which would be affected by the referendum, the introduction shall be followed by a brief synopsis of the legislation involved and reference shall be made to the reverse side of the sheet for the full text of the legislation.  The full text of the legislation which would be affected by the referendum shall appear on the reverse side of the petition sheet after an introduction which identifies the legislation involved.</w:t>
      </w:r>
    </w:p>
    <w:p w:rsidR="00107906" w:rsidRDefault="003C6461" w:rsidP="00E4656F">
      <w:pPr>
        <w:pStyle w:val="Standard"/>
        <w:spacing w:line="240" w:lineRule="auto"/>
      </w:pPr>
      <w:r>
        <w:t xml:space="preserve">In addition, the Secretary’s standard </w:t>
      </w:r>
      <w:r w:rsidR="00FC4ADF" w:rsidRPr="00FC4ADF">
        <w:rPr>
          <w:i/>
        </w:rPr>
        <w:t>prescribed</w:t>
      </w:r>
      <w:r>
        <w:t xml:space="preserve"> format, under the subheading “Identification of Petition Type,” </w:t>
      </w:r>
      <w:r w:rsidR="006B6FFE">
        <w:t xml:space="preserve">specifies </w:t>
      </w:r>
      <w:r w:rsidR="004248F4">
        <w:t xml:space="preserve">that </w:t>
      </w:r>
      <w:r w:rsidR="00C64F78">
        <w:t>the words “REFERENDUM OF LEGISLATION PROPOSED BY INITIATIVE PETITION” “</w:t>
      </w:r>
      <w:r w:rsidR="00C40765" w:rsidRPr="00C40765">
        <w:rPr>
          <w:i/>
        </w:rPr>
        <w:t>shall</w:t>
      </w:r>
      <w:r w:rsidR="00C64F78">
        <w:t xml:space="preserve"> be printed in capital letters in </w:t>
      </w:r>
      <w:r w:rsidR="00C40765" w:rsidRPr="00C40765">
        <w:rPr>
          <w:i/>
        </w:rPr>
        <w:t>14-point boldface type</w:t>
      </w:r>
      <w:r w:rsidR="00C64F78">
        <w:t xml:space="preserve"> on the left margin of the signature side of the sheet or at the top of the signature side of the sheet.  </w:t>
      </w:r>
      <w:proofErr w:type="gramStart"/>
      <w:r w:rsidR="00C64F78">
        <w:t xml:space="preserve">(MCL </w:t>
      </w:r>
      <w:r w:rsidR="00C64F78">
        <w:lastRenderedPageBreak/>
        <w:t>168.482(2)).”</w:t>
      </w:r>
      <w:proofErr w:type="gramEnd"/>
      <w:r w:rsidR="00C64F78">
        <w:t xml:space="preserve">  (Emphasis added.)</w:t>
      </w:r>
      <w:r w:rsidR="002C2172">
        <w:t xml:space="preserve">  </w:t>
      </w:r>
      <w:r w:rsidR="001C34D6">
        <w:t xml:space="preserve">Significantly, </w:t>
      </w:r>
      <w:r w:rsidR="00D30B4E">
        <w:t>while §</w:t>
      </w:r>
      <w:r w:rsidR="006B6FFE">
        <w:t> </w:t>
      </w:r>
      <w:r w:rsidR="00D30B4E">
        <w:t>544d permits the Secretary to prescribe a form that is in substantial compliance with §</w:t>
      </w:r>
      <w:r w:rsidR="006B6FFE">
        <w:t> </w:t>
      </w:r>
      <w:r w:rsidR="00D30B4E">
        <w:t xml:space="preserve">482, in this instance, </w:t>
      </w:r>
      <w:r w:rsidR="001C34D6">
        <w:t xml:space="preserve">the Secretary’s </w:t>
      </w:r>
      <w:r w:rsidR="00C40765" w:rsidRPr="00C40765">
        <w:rPr>
          <w:i/>
        </w:rPr>
        <w:t>prescribed</w:t>
      </w:r>
      <w:r w:rsidR="001C34D6">
        <w:t xml:space="preserve"> format did </w:t>
      </w:r>
      <w:r w:rsidR="001C34D6" w:rsidRPr="00D30B4E">
        <w:rPr>
          <w:i/>
        </w:rPr>
        <w:t>not</w:t>
      </w:r>
      <w:r w:rsidR="001C34D6">
        <w:t xml:space="preserve"> permit petition type size or text that was in substantial compliance with MCL 168.482(2).  Rather</w:t>
      </w:r>
      <w:r w:rsidR="00AC51E0">
        <w:t xml:space="preserve">, the format prescribed by the Secretary was </w:t>
      </w:r>
      <w:r w:rsidR="00947C59">
        <w:t xml:space="preserve">the </w:t>
      </w:r>
      <w:r w:rsidR="001C34D6" w:rsidRPr="00D30B4E">
        <w:rPr>
          <w:i/>
        </w:rPr>
        <w:t>exact</w:t>
      </w:r>
      <w:r w:rsidR="001C34D6">
        <w:t xml:space="preserve"> </w:t>
      </w:r>
      <w:r w:rsidR="00947C59">
        <w:t xml:space="preserve">type size and text format </w:t>
      </w:r>
      <w:r w:rsidR="002C2172">
        <w:t>mandated by MCL 168.482(2)</w:t>
      </w:r>
      <w:r w:rsidR="001C34D6">
        <w:t>.</w:t>
      </w:r>
    </w:p>
    <w:p w:rsidR="00107906" w:rsidRDefault="0083523E" w:rsidP="00E4656F">
      <w:pPr>
        <w:pStyle w:val="Standard"/>
        <w:spacing w:line="240" w:lineRule="auto"/>
      </w:pPr>
      <w:r>
        <w:tab/>
      </w:r>
      <w:r w:rsidR="00AC51E0">
        <w:t>As previously noted</w:t>
      </w:r>
      <w:r w:rsidR="004844BB">
        <w:t>,</w:t>
      </w:r>
      <w:r w:rsidR="00975527">
        <w:t xml:space="preserve"> t</w:t>
      </w:r>
      <w:r>
        <w:t xml:space="preserve">he Secretary </w:t>
      </w:r>
      <w:r w:rsidR="004844BB">
        <w:t xml:space="preserve">also </w:t>
      </w:r>
      <w:r>
        <w:t>require</w:t>
      </w:r>
      <w:r w:rsidR="00AC51E0">
        <w:t>d</w:t>
      </w:r>
      <w:r>
        <w:t xml:space="preserve"> a</w:t>
      </w:r>
      <w:r w:rsidR="00A607DE">
        <w:t xml:space="preserve"> “Printer’s Affidavit” </w:t>
      </w:r>
      <w:r>
        <w:t xml:space="preserve">to </w:t>
      </w:r>
      <w:r w:rsidR="00A607DE">
        <w:t>accompany referendum petition</w:t>
      </w:r>
      <w:r w:rsidR="00A975D0">
        <w:t>s</w:t>
      </w:r>
      <w:r w:rsidR="00A607DE">
        <w:t xml:space="preserve"> submitted for </w:t>
      </w:r>
      <w:r w:rsidR="00A975D0">
        <w:t xml:space="preserve">Board </w:t>
      </w:r>
      <w:r w:rsidR="00A607DE">
        <w:t xml:space="preserve">approval.  </w:t>
      </w:r>
      <w:r w:rsidR="00AC51E0">
        <w:t xml:space="preserve">A sample </w:t>
      </w:r>
      <w:r w:rsidR="00A607DE">
        <w:t xml:space="preserve">printer’s affidavit </w:t>
      </w:r>
      <w:r w:rsidR="00A975D0">
        <w:t xml:space="preserve">was attached to the Secretary’s January 2011 memorandum, dictating the manner in which the printer should aver that </w:t>
      </w:r>
      <w:r w:rsidR="00A607DE">
        <w:t xml:space="preserve">the text </w:t>
      </w:r>
      <w:r w:rsidR="00975527">
        <w:t xml:space="preserve">of a </w:t>
      </w:r>
      <w:r w:rsidR="00A975D0">
        <w:t xml:space="preserve">proposed </w:t>
      </w:r>
      <w:r w:rsidR="00975527">
        <w:t xml:space="preserve">petition </w:t>
      </w:r>
      <w:r w:rsidR="00A607DE">
        <w:t xml:space="preserve">meets the </w:t>
      </w:r>
      <w:r w:rsidR="00A975D0">
        <w:t xml:space="preserve">prescribed </w:t>
      </w:r>
      <w:r w:rsidR="004844BB">
        <w:t>criteria</w:t>
      </w:r>
      <w:r w:rsidR="00A607DE">
        <w:t xml:space="preserve">.  </w:t>
      </w:r>
      <w:r w:rsidR="00A975D0">
        <w:t>T</w:t>
      </w:r>
      <w:r w:rsidR="00975527">
        <w:t xml:space="preserve">he top of the </w:t>
      </w:r>
      <w:r w:rsidR="00A975D0">
        <w:t xml:space="preserve">sample </w:t>
      </w:r>
      <w:r w:rsidR="00975527">
        <w:t xml:space="preserve">printer’s affidavit </w:t>
      </w:r>
      <w:r w:rsidR="00A975D0">
        <w:t>contains</w:t>
      </w:r>
      <w:r w:rsidR="00975527">
        <w:t xml:space="preserve"> the following language:</w:t>
      </w:r>
    </w:p>
    <w:p w:rsidR="00975527" w:rsidRDefault="00975527" w:rsidP="00E4656F">
      <w:pPr>
        <w:pStyle w:val="BlockText"/>
      </w:pPr>
      <w:r>
        <w:t>PROPONENTS OF INITIATIVE AND REFERENDUM PETITIONS ARE URGED TO SUBMIT A PROOF COPY OF THEIR PETITION TO THE BOARD OF STATE CANVASSERS FOR APPROVAL AS TO FORM PRIOR TO THE CIRCULATION OF THE PETITION.  WHEN SUBMITTING A PETITION FORM FOR APPROVAL, THE BOARD REQUESTS THAT THIS AFFIDAVIT BE ATTACHED.</w:t>
      </w:r>
    </w:p>
    <w:p w:rsidR="00107906" w:rsidRDefault="004F420E" w:rsidP="00E4656F">
      <w:pPr>
        <w:pStyle w:val="Standard"/>
        <w:spacing w:line="240" w:lineRule="auto"/>
      </w:pPr>
      <w:r>
        <w:t>D</w:t>
      </w:r>
      <w:r w:rsidR="001C34D6">
        <w:t xml:space="preserve">espite the Secretary’s </w:t>
      </w:r>
      <w:r w:rsidR="00DA42FF">
        <w:t xml:space="preserve">recommendations </w:t>
      </w:r>
      <w:r>
        <w:t xml:space="preserve">in the two memoranda and </w:t>
      </w:r>
      <w:r w:rsidR="001C34D6">
        <w:t>sample printer’s affidavit</w:t>
      </w:r>
      <w:r>
        <w:t xml:space="preserve"> that proponents seek preapproval of a petition as to form</w:t>
      </w:r>
      <w:r w:rsidR="001C34D6">
        <w:t xml:space="preserve">, </w:t>
      </w:r>
      <w:r w:rsidR="00975527">
        <w:t xml:space="preserve">plaintiff elected not to </w:t>
      </w:r>
      <w:r>
        <w:t>do so</w:t>
      </w:r>
      <w:r w:rsidR="00975527">
        <w:t>.</w:t>
      </w:r>
      <w:r w:rsidR="00DA42FF">
        <w:t xml:space="preserve">  Instead, plaintiff circulated its petitions without seeking advance assurance that the format of its petition complied with the Secretary’s requirements.</w:t>
      </w:r>
    </w:p>
    <w:p w:rsidR="001F4F1F" w:rsidRDefault="00A017EE" w:rsidP="00E4656F">
      <w:pPr>
        <w:pStyle w:val="Standard"/>
        <w:tabs>
          <w:tab w:val="left" w:pos="720"/>
        </w:tabs>
        <w:spacing w:line="240" w:lineRule="auto"/>
        <w:jc w:val="center"/>
      </w:pPr>
      <w:r>
        <w:t>C</w:t>
      </w:r>
    </w:p>
    <w:p w:rsidR="00107906" w:rsidRDefault="00A607DE" w:rsidP="00E4656F">
      <w:pPr>
        <w:pStyle w:val="Standard"/>
        <w:spacing w:line="240" w:lineRule="auto"/>
      </w:pPr>
      <w:r>
        <w:tab/>
        <w:t xml:space="preserve">On February 29, 2012, plaintiff filed over 24,000 sheets containing 226,339 signatures </w:t>
      </w:r>
      <w:r w:rsidR="0071446E">
        <w:t xml:space="preserve">for a referendum on </w:t>
      </w:r>
      <w:r>
        <w:t xml:space="preserve">the Act.  The Bureau of Elections </w:t>
      </w:r>
      <w:r w:rsidR="0083523E">
        <w:t xml:space="preserve">ultimately </w:t>
      </w:r>
      <w:r>
        <w:t xml:space="preserve">concluded that plaintiff had submitted </w:t>
      </w:r>
      <w:r w:rsidR="0083523E">
        <w:t xml:space="preserve">over </w:t>
      </w:r>
      <w:r>
        <w:t>203,0</w:t>
      </w:r>
      <w:r w:rsidR="0083523E">
        <w:t>00</w:t>
      </w:r>
      <w:r>
        <w:t xml:space="preserve"> valid signatures</w:t>
      </w:r>
      <w:r w:rsidR="001C34D6">
        <w:t xml:space="preserve"> and reported to the Board</w:t>
      </w:r>
      <w:r w:rsidR="004753BC">
        <w:t xml:space="preserve"> </w:t>
      </w:r>
      <w:r>
        <w:t>that the pet</w:t>
      </w:r>
      <w:r w:rsidR="00D234A0">
        <w:t>itions</w:t>
      </w:r>
      <w:r>
        <w:t xml:space="preserve"> contain</w:t>
      </w:r>
      <w:r w:rsidR="001C34D6">
        <w:t>ed</w:t>
      </w:r>
      <w:r>
        <w:t xml:space="preserve"> </w:t>
      </w:r>
      <w:r w:rsidR="006B6FFE">
        <w:t xml:space="preserve">a </w:t>
      </w:r>
      <w:r>
        <w:t xml:space="preserve">sufficient </w:t>
      </w:r>
      <w:r w:rsidR="006B6FFE">
        <w:t xml:space="preserve">number of </w:t>
      </w:r>
      <w:r>
        <w:t>valid signatures.</w:t>
      </w:r>
    </w:p>
    <w:p w:rsidR="00107906" w:rsidRDefault="00A607DE" w:rsidP="00E4656F">
      <w:pPr>
        <w:pStyle w:val="Standard"/>
        <w:spacing w:line="240" w:lineRule="auto"/>
      </w:pPr>
      <w:r>
        <w:tab/>
      </w:r>
      <w:r w:rsidR="00955BC8">
        <w:t xml:space="preserve">Despite the Secretary’s requirement that a printer’s affidavit be submitted at the time the petitions were filed, plaintiff submitted a letter from a printer, which the Board rejected.  Thereafter, plaintiff </w:t>
      </w:r>
      <w:r>
        <w:t>submitted a printer</w:t>
      </w:r>
      <w:r w:rsidR="0071446E">
        <w:t>’s</w:t>
      </w:r>
      <w:r>
        <w:t xml:space="preserve"> affidavit on March 14, 2012</w:t>
      </w:r>
      <w:r w:rsidR="00F0472E">
        <w:t>, which provided in pertinent part:</w:t>
      </w:r>
    </w:p>
    <w:p w:rsidR="00F0472E" w:rsidRDefault="00F0472E" w:rsidP="00E4656F">
      <w:pPr>
        <w:pStyle w:val="BlockText"/>
      </w:pPr>
      <w:r>
        <w:t xml:space="preserve">3. </w:t>
      </w:r>
      <w:proofErr w:type="gramStart"/>
      <w:r>
        <w:t>that</w:t>
      </w:r>
      <w:proofErr w:type="gramEnd"/>
      <w:r>
        <w:t xml:space="preserve"> the heading of the petition is presented in the following form and printed in capital letters in 14-point boldface type:  </w:t>
      </w:r>
    </w:p>
    <w:p w:rsidR="00F0472E" w:rsidRDefault="00F0472E" w:rsidP="00E4656F">
      <w:pPr>
        <w:pStyle w:val="BlockText"/>
        <w:jc w:val="center"/>
      </w:pPr>
      <w:r>
        <w:t>REFERENDUM OF LEGISLATION</w:t>
      </w:r>
    </w:p>
    <w:p w:rsidR="00F0472E" w:rsidRDefault="00F0472E" w:rsidP="00E4656F">
      <w:pPr>
        <w:pStyle w:val="BlockText"/>
        <w:jc w:val="center"/>
      </w:pPr>
      <w:r>
        <w:t>PROPOSED BY INITIATIVE PETITION</w:t>
      </w:r>
    </w:p>
    <w:p w:rsidR="00107906" w:rsidRDefault="00A607DE" w:rsidP="00E4656F">
      <w:pPr>
        <w:pStyle w:val="Standard"/>
        <w:spacing w:line="240" w:lineRule="auto"/>
      </w:pPr>
      <w:r>
        <w:tab/>
        <w:t>On April 9, 2012, intervening party Citizens for Fiscal Responsibility (</w:t>
      </w:r>
      <w:proofErr w:type="spellStart"/>
      <w:r>
        <w:t>CFR</w:t>
      </w:r>
      <w:proofErr w:type="spellEnd"/>
      <w:r>
        <w:t>), a ballot question committee,</w:t>
      </w:r>
      <w:r w:rsidR="00D234A0">
        <w:t xml:space="preserve"> timely challenged the petition</w:t>
      </w:r>
      <w:r>
        <w:t xml:space="preserve"> on several grounds, including the </w:t>
      </w:r>
      <w:r w:rsidR="00041040">
        <w:t xml:space="preserve">type </w:t>
      </w:r>
      <w:r>
        <w:t xml:space="preserve">size of the </w:t>
      </w:r>
      <w:r w:rsidR="00041040">
        <w:t>heading</w:t>
      </w:r>
      <w:r>
        <w:t xml:space="preserve">.  </w:t>
      </w:r>
      <w:proofErr w:type="spellStart"/>
      <w:r>
        <w:t>CFR</w:t>
      </w:r>
      <w:proofErr w:type="spellEnd"/>
      <w:r>
        <w:t xml:space="preserve"> asserted that the type size of the petition heading did not comply with the requirement of MCL 168.482(2) that it be printed in 14-point boldfaced type.  </w:t>
      </w:r>
      <w:proofErr w:type="spellStart"/>
      <w:r>
        <w:t>CFR</w:t>
      </w:r>
      <w:proofErr w:type="spellEnd"/>
      <w:r>
        <w:t xml:space="preserve"> also asserted that </w:t>
      </w:r>
      <w:r w:rsidR="0071446E">
        <w:t xml:space="preserve">plaintiff’s </w:t>
      </w:r>
      <w:r>
        <w:t xml:space="preserve">summary </w:t>
      </w:r>
      <w:r w:rsidR="00B254CF">
        <w:t xml:space="preserve">of the petition </w:t>
      </w:r>
      <w:r>
        <w:t>was incomplete and misleading</w:t>
      </w:r>
      <w:r w:rsidR="00041040">
        <w:t>,</w:t>
      </w:r>
      <w:r>
        <w:t xml:space="preserve"> the petition omitted the </w:t>
      </w:r>
      <w:r>
        <w:lastRenderedPageBreak/>
        <w:t>prior law that will be revived if the Act is suspended</w:t>
      </w:r>
      <w:r w:rsidR="00041040">
        <w:t>,</w:t>
      </w:r>
      <w:r>
        <w:t xml:space="preserve"> the petition omitted the effective date of the Act</w:t>
      </w:r>
      <w:r w:rsidR="00041040">
        <w:t>,</w:t>
      </w:r>
      <w:r>
        <w:t xml:space="preserve"> and the petition omitted reference to 2011 Public Act 9, a bill related to collective bargaining that was tie-barred to the Act.</w:t>
      </w:r>
    </w:p>
    <w:p w:rsidR="00107906" w:rsidRDefault="00A607DE" w:rsidP="00E4656F">
      <w:pPr>
        <w:pStyle w:val="Standard"/>
        <w:spacing w:line="240" w:lineRule="auto"/>
      </w:pPr>
      <w:r>
        <w:tab/>
      </w:r>
      <w:proofErr w:type="spellStart"/>
      <w:r>
        <w:t>CFR</w:t>
      </w:r>
      <w:proofErr w:type="spellEnd"/>
      <w:r>
        <w:t xml:space="preserve"> submitted </w:t>
      </w:r>
      <w:r w:rsidR="00B254CF">
        <w:t xml:space="preserve">two </w:t>
      </w:r>
      <w:r>
        <w:t>affidavit</w:t>
      </w:r>
      <w:r w:rsidR="00B254CF">
        <w:t>s</w:t>
      </w:r>
      <w:r>
        <w:t xml:space="preserve"> </w:t>
      </w:r>
      <w:r w:rsidR="00B254CF">
        <w:t xml:space="preserve">from </w:t>
      </w:r>
      <w:r>
        <w:t>commercial printer</w:t>
      </w:r>
      <w:r w:rsidR="00B254CF">
        <w:t>s</w:t>
      </w:r>
      <w:r w:rsidR="009E2CD2">
        <w:t xml:space="preserve"> with its challenge. </w:t>
      </w:r>
      <w:r w:rsidR="00B254CF">
        <w:t xml:space="preserve"> </w:t>
      </w:r>
      <w:r w:rsidR="009E2CD2">
        <w:t>E</w:t>
      </w:r>
      <w:r w:rsidR="002016B0">
        <w:t xml:space="preserve">ach </w:t>
      </w:r>
      <w:r w:rsidR="009E2CD2">
        <w:t xml:space="preserve">of the commercial printers asserted that not only did </w:t>
      </w:r>
      <w:r w:rsidR="00D234A0">
        <w:t>the petition</w:t>
      </w:r>
      <w:r>
        <w:t xml:space="preserve"> </w:t>
      </w:r>
      <w:r w:rsidR="009E2CD2">
        <w:t xml:space="preserve">heading </w:t>
      </w:r>
      <w:r>
        <w:t xml:space="preserve">submitted by plaintiff </w:t>
      </w:r>
      <w:r w:rsidR="009E2CD2">
        <w:t>fail to</w:t>
      </w:r>
      <w:r>
        <w:t xml:space="preserve"> conform to the </w:t>
      </w:r>
      <w:r w:rsidR="009E2CD2">
        <w:t>14-point type</w:t>
      </w:r>
      <w:r>
        <w:t xml:space="preserve"> </w:t>
      </w:r>
      <w:r w:rsidR="006B6FFE">
        <w:t xml:space="preserve">size </w:t>
      </w:r>
      <w:r>
        <w:t>standard</w:t>
      </w:r>
      <w:r w:rsidR="009E2CD2">
        <w:t xml:space="preserve">, but in fact, </w:t>
      </w:r>
      <w:r w:rsidR="00B254CF">
        <w:t xml:space="preserve">the </w:t>
      </w:r>
      <w:r w:rsidR="002A753A">
        <w:t xml:space="preserve">text </w:t>
      </w:r>
      <w:r w:rsidR="00B254CF">
        <w:t xml:space="preserve">was </w:t>
      </w:r>
      <w:r>
        <w:t>smaller than required</w:t>
      </w:r>
      <w:r w:rsidR="00B254CF">
        <w:t>.</w:t>
      </w:r>
    </w:p>
    <w:p w:rsidR="00107906" w:rsidRDefault="00A607DE" w:rsidP="00E4656F">
      <w:pPr>
        <w:pStyle w:val="Standard"/>
        <w:spacing w:line="240" w:lineRule="auto"/>
      </w:pPr>
      <w:r>
        <w:tab/>
        <w:t xml:space="preserve">Plaintiff </w:t>
      </w:r>
      <w:r w:rsidR="009E2CD2">
        <w:t xml:space="preserve">disputed </w:t>
      </w:r>
      <w:proofErr w:type="spellStart"/>
      <w:r w:rsidR="009E2CD2">
        <w:t>CFR’s</w:t>
      </w:r>
      <w:proofErr w:type="spellEnd"/>
      <w:r w:rsidR="009E2CD2">
        <w:t xml:space="preserve"> assertion </w:t>
      </w:r>
      <w:r>
        <w:t xml:space="preserve">that the petition </w:t>
      </w:r>
      <w:r w:rsidR="009E2CD2">
        <w:t xml:space="preserve">failed to </w:t>
      </w:r>
      <w:r>
        <w:t>compl</w:t>
      </w:r>
      <w:r w:rsidR="009E2CD2">
        <w:t>y</w:t>
      </w:r>
      <w:r>
        <w:t xml:space="preserve"> with all the necessary formatting requirements.  </w:t>
      </w:r>
      <w:r w:rsidR="009E2CD2">
        <w:t xml:space="preserve">In support of </w:t>
      </w:r>
      <w:r w:rsidR="006B6FFE">
        <w:t xml:space="preserve">its </w:t>
      </w:r>
      <w:r w:rsidR="009E2CD2">
        <w:t>response, p</w:t>
      </w:r>
      <w:r>
        <w:t xml:space="preserve">laintiff </w:t>
      </w:r>
      <w:r w:rsidR="009E2CD2">
        <w:t>presented</w:t>
      </w:r>
      <w:r>
        <w:t xml:space="preserve"> a notarized affidavit from </w:t>
      </w:r>
      <w:r w:rsidR="00B254CF">
        <w:t xml:space="preserve">a </w:t>
      </w:r>
      <w:r>
        <w:t xml:space="preserve">printer </w:t>
      </w:r>
      <w:r w:rsidR="009E2CD2">
        <w:t>attesting</w:t>
      </w:r>
      <w:r>
        <w:t xml:space="preserve"> that the heading of the petition was in 14-point type</w:t>
      </w:r>
      <w:r w:rsidR="00B254CF">
        <w:t xml:space="preserve">.  </w:t>
      </w:r>
      <w:r>
        <w:t xml:space="preserve">Plaintiff further </w:t>
      </w:r>
      <w:r w:rsidR="009E2CD2">
        <w:t xml:space="preserve">argued </w:t>
      </w:r>
      <w:r>
        <w:t xml:space="preserve">that even if the </w:t>
      </w:r>
      <w:r w:rsidR="009E2CD2">
        <w:t xml:space="preserve">heading </w:t>
      </w:r>
      <w:r w:rsidR="00955BC8">
        <w:t xml:space="preserve">type size </w:t>
      </w:r>
      <w:r>
        <w:t xml:space="preserve">was </w:t>
      </w:r>
      <w:r w:rsidR="00F248A9">
        <w:t>not</w:t>
      </w:r>
      <w:r w:rsidR="009E2CD2">
        <w:t xml:space="preserve"> 14-point</w:t>
      </w:r>
      <w:r>
        <w:t xml:space="preserve">, the petition </w:t>
      </w:r>
      <w:r w:rsidR="009E2CD2">
        <w:t xml:space="preserve">heading </w:t>
      </w:r>
      <w:r>
        <w:t xml:space="preserve">substantially complied with the requirements.  Plaintiff added that the remaining challenges by </w:t>
      </w:r>
      <w:proofErr w:type="spellStart"/>
      <w:r>
        <w:t>CFR</w:t>
      </w:r>
      <w:proofErr w:type="spellEnd"/>
      <w:r>
        <w:t xml:space="preserve"> were not within the jurisdiction of the Board.</w:t>
      </w:r>
    </w:p>
    <w:p w:rsidR="001F4F1F" w:rsidRDefault="00A017EE" w:rsidP="00E4656F">
      <w:pPr>
        <w:pStyle w:val="Standard"/>
        <w:tabs>
          <w:tab w:val="left" w:pos="720"/>
        </w:tabs>
        <w:spacing w:line="240" w:lineRule="auto"/>
        <w:jc w:val="center"/>
      </w:pPr>
      <w:r>
        <w:t>D</w:t>
      </w:r>
    </w:p>
    <w:p w:rsidR="00107906" w:rsidRDefault="00A607DE" w:rsidP="00E4656F">
      <w:pPr>
        <w:pStyle w:val="Standard"/>
        <w:spacing w:line="240" w:lineRule="auto"/>
      </w:pPr>
      <w:r>
        <w:tab/>
        <w:t xml:space="preserve">The Board heard </w:t>
      </w:r>
      <w:proofErr w:type="spellStart"/>
      <w:r w:rsidR="0071446E">
        <w:t>CFR’s</w:t>
      </w:r>
      <w:proofErr w:type="spellEnd"/>
      <w:r w:rsidR="0071446E">
        <w:t xml:space="preserve"> </w:t>
      </w:r>
      <w:r>
        <w:t xml:space="preserve">challenge on April 26, 2012.  </w:t>
      </w:r>
      <w:r w:rsidR="00B254CF">
        <w:t xml:space="preserve">Director of Elections </w:t>
      </w:r>
      <w:r>
        <w:t xml:space="preserve">Christopher Thomas </w:t>
      </w:r>
      <w:r w:rsidR="002A753A">
        <w:t>opined that</w:t>
      </w:r>
      <w:r w:rsidR="00B254CF">
        <w:t xml:space="preserve"> </w:t>
      </w:r>
      <w:r>
        <w:t xml:space="preserve">the Board’s approval </w:t>
      </w:r>
      <w:r w:rsidR="0071446E">
        <w:t xml:space="preserve">authority </w:t>
      </w:r>
      <w:r>
        <w:t>did not extend to the substance of the proposal</w:t>
      </w:r>
      <w:r w:rsidR="00B254CF">
        <w:t xml:space="preserve">, but rather was </w:t>
      </w:r>
      <w:r>
        <w:t xml:space="preserve">limited to whether the </w:t>
      </w:r>
      <w:r w:rsidR="00B254CF">
        <w:t xml:space="preserve">petition’s </w:t>
      </w:r>
      <w:r>
        <w:t>format satisfie</w:t>
      </w:r>
      <w:r w:rsidR="006B6FFE">
        <w:t>d</w:t>
      </w:r>
      <w:r>
        <w:t xml:space="preserve"> </w:t>
      </w:r>
      <w:r w:rsidR="00B254CF">
        <w:t xml:space="preserve">statutory </w:t>
      </w:r>
      <w:r>
        <w:t xml:space="preserve">requirements </w:t>
      </w:r>
      <w:r w:rsidR="00B254CF">
        <w:t xml:space="preserve">on a technical basis. </w:t>
      </w:r>
      <w:r w:rsidR="00F248A9">
        <w:t xml:space="preserve"> </w:t>
      </w:r>
      <w:r>
        <w:t xml:space="preserve">Thomas acknowledged that </w:t>
      </w:r>
      <w:proofErr w:type="spellStart"/>
      <w:r>
        <w:t>CFR</w:t>
      </w:r>
      <w:proofErr w:type="spellEnd"/>
      <w:r>
        <w:t xml:space="preserve"> </w:t>
      </w:r>
      <w:r w:rsidR="00D11C88">
        <w:t xml:space="preserve">had </w:t>
      </w:r>
      <w:r>
        <w:t>presented two affidavits asserting that the heading was not in 14-point boldfaced type</w:t>
      </w:r>
      <w:r w:rsidR="00D11C88">
        <w:t xml:space="preserve"> and that</w:t>
      </w:r>
      <w:r w:rsidR="00F248A9">
        <w:t xml:space="preserve"> </w:t>
      </w:r>
      <w:r w:rsidR="00D11C88">
        <w:t>p</w:t>
      </w:r>
      <w:r>
        <w:t xml:space="preserve">laintiff </w:t>
      </w:r>
      <w:r w:rsidR="00D11C88">
        <w:t xml:space="preserve">had </w:t>
      </w:r>
      <w:r>
        <w:t xml:space="preserve">provided one affidavit asserting that the heading was compliant.  </w:t>
      </w:r>
      <w:r w:rsidR="000A1CA1">
        <w:t xml:space="preserve">Thomas advised </w:t>
      </w:r>
      <w:r>
        <w:t xml:space="preserve">the Board </w:t>
      </w:r>
      <w:r w:rsidR="000A1CA1">
        <w:t xml:space="preserve">that in the past, it </w:t>
      </w:r>
      <w:r>
        <w:t xml:space="preserve">has reviewed such challenges for compliance with § 482 of the Election Law.  Thomas </w:t>
      </w:r>
      <w:r w:rsidR="000A1CA1">
        <w:t xml:space="preserve">also </w:t>
      </w:r>
      <w:r w:rsidR="00D11C88">
        <w:t xml:space="preserve">advised the Board </w:t>
      </w:r>
      <w:r>
        <w:t xml:space="preserve">that </w:t>
      </w:r>
      <w:r w:rsidR="00D5620C">
        <w:t xml:space="preserve">previous </w:t>
      </w:r>
      <w:r w:rsidR="00D11C88">
        <w:t xml:space="preserve">case law </w:t>
      </w:r>
      <w:r w:rsidR="00D5620C">
        <w:t xml:space="preserve">had </w:t>
      </w:r>
      <w:r>
        <w:t xml:space="preserve">held that the Board’s duties </w:t>
      </w:r>
      <w:r w:rsidR="006B6FFE">
        <w:t xml:space="preserve">were </w:t>
      </w:r>
      <w:r>
        <w:t xml:space="preserve">limited to determining whether the form of </w:t>
      </w:r>
      <w:r w:rsidR="002A753A">
        <w:t>a petition substantially complies</w:t>
      </w:r>
      <w:r>
        <w:t xml:space="preserve"> with the statutory requirements.</w:t>
      </w:r>
    </w:p>
    <w:p w:rsidR="00107906" w:rsidRDefault="00A607DE" w:rsidP="00E4656F">
      <w:pPr>
        <w:pStyle w:val="Standard"/>
        <w:spacing w:line="240" w:lineRule="auto"/>
      </w:pPr>
      <w:r>
        <w:tab/>
      </w:r>
      <w:r w:rsidR="000A1CA1">
        <w:t xml:space="preserve">After statements by counsel for plaintiff and </w:t>
      </w:r>
      <w:proofErr w:type="spellStart"/>
      <w:r w:rsidR="000A1CA1">
        <w:t>CFR</w:t>
      </w:r>
      <w:proofErr w:type="spellEnd"/>
      <w:r w:rsidR="000A1CA1">
        <w:t>, t</w:t>
      </w:r>
      <w:r>
        <w:t xml:space="preserve">he Board heard </w:t>
      </w:r>
      <w:r w:rsidR="00B254CF">
        <w:t xml:space="preserve">statements </w:t>
      </w:r>
      <w:r>
        <w:t>from</w:t>
      </w:r>
      <w:r w:rsidR="00B254CF">
        <w:t xml:space="preserve"> </w:t>
      </w:r>
      <w:r w:rsidR="0071446E">
        <w:t>two</w:t>
      </w:r>
      <w:r w:rsidR="002016B0">
        <w:t xml:space="preserve"> </w:t>
      </w:r>
      <w:r w:rsidR="00B254CF">
        <w:t>printers</w:t>
      </w:r>
      <w:r w:rsidR="002016B0">
        <w:t xml:space="preserve"> produced by plaintiff </w:t>
      </w:r>
      <w:r w:rsidR="000A1CA1">
        <w:t>who each asserted</w:t>
      </w:r>
      <w:r w:rsidR="002016B0">
        <w:t xml:space="preserve"> </w:t>
      </w:r>
      <w:r>
        <w:t xml:space="preserve">that </w:t>
      </w:r>
      <w:r w:rsidR="00B254CF">
        <w:t>the petition’s heading me</w:t>
      </w:r>
      <w:r w:rsidR="002A753A">
        <w:t>e</w:t>
      </w:r>
      <w:r w:rsidR="00B254CF">
        <w:t>t</w:t>
      </w:r>
      <w:r w:rsidR="002A753A">
        <w:t>s</w:t>
      </w:r>
      <w:r w:rsidR="00B254CF">
        <w:t xml:space="preserve"> the 14-point </w:t>
      </w:r>
      <w:r w:rsidR="006B6FFE">
        <w:t xml:space="preserve">size </w:t>
      </w:r>
      <w:r w:rsidR="00B254CF">
        <w:t xml:space="preserve">requirement.  Bruce Hack, who holds </w:t>
      </w:r>
      <w:r>
        <w:t>a Bachelor of Science degree from the Rochester Institute of Technology in printing</w:t>
      </w:r>
      <w:r w:rsidR="00B254CF">
        <w:t xml:space="preserve"> and has decades of </w:t>
      </w:r>
      <w:r w:rsidR="008E40DF">
        <w:t>experience in the printing field</w:t>
      </w:r>
      <w:r w:rsidR="00B254CF">
        <w:t xml:space="preserve">, </w:t>
      </w:r>
      <w:r>
        <w:t xml:space="preserve">stated </w:t>
      </w:r>
      <w:r w:rsidR="00F0472E">
        <w:t>in pertinent part:</w:t>
      </w:r>
    </w:p>
    <w:p w:rsidR="00F0472E" w:rsidRDefault="006B6FFE" w:rsidP="00E4656F">
      <w:pPr>
        <w:pStyle w:val="BlockText"/>
      </w:pPr>
      <w:r>
        <w:tab/>
      </w:r>
      <w:r w:rsidR="00F0472E">
        <w:t xml:space="preserve">Basically when you’re talking about 14-point type, you’re talking about an area that’s just less than a fifth of an inch, .194.  And it becomes a canvas that a type designer gets to work with, and sometimes they use the whole canvas and sometimes they use part of the canvas.  The particular type that was used for this petition, called Calibri, was designed by Lucas </w:t>
      </w:r>
      <w:proofErr w:type="spellStart"/>
      <w:r w:rsidR="00F0472E">
        <w:t>DeGroot</w:t>
      </w:r>
      <w:proofErr w:type="spellEnd"/>
      <w:r w:rsidR="00F0472E">
        <w:t xml:space="preserve">.  He’s probably 50 years old right now. </w:t>
      </w:r>
      <w:r>
        <w:t xml:space="preserve"> </w:t>
      </w:r>
      <w:r w:rsidR="00F0472E">
        <w:t>And it became – as I investigated more, it became the standard in Microsoft software in 2007.</w:t>
      </w:r>
    </w:p>
    <w:p w:rsidR="00107906" w:rsidRDefault="00F0472E" w:rsidP="00E4656F">
      <w:pPr>
        <w:pStyle w:val="Standard"/>
        <w:spacing w:line="240" w:lineRule="auto"/>
      </w:pPr>
      <w:r>
        <w:t xml:space="preserve">Hack indicated that he used a computer program, rather than a ruler, to </w:t>
      </w:r>
      <w:r w:rsidR="00D2166E">
        <w:t xml:space="preserve">determine whether </w:t>
      </w:r>
      <w:r>
        <w:t xml:space="preserve">the text was </w:t>
      </w:r>
      <w:r w:rsidR="00D2166E">
        <w:t xml:space="preserve">in </w:t>
      </w:r>
      <w:r>
        <w:t>14-point</w:t>
      </w:r>
      <w:r w:rsidR="00C671DC">
        <w:t xml:space="preserve"> </w:t>
      </w:r>
      <w:r w:rsidR="00D2166E">
        <w:t>type</w:t>
      </w:r>
      <w:r>
        <w:t>:</w:t>
      </w:r>
    </w:p>
    <w:p w:rsidR="00F0472E" w:rsidRDefault="00F0472E" w:rsidP="00E4656F">
      <w:pPr>
        <w:pStyle w:val="BlockText"/>
      </w:pPr>
      <w:r>
        <w:tab/>
        <w:t xml:space="preserve">When I was asked to sign the affidavit, I took the file that we were given, that we had assembled for printing purposes, and I used a program – because we’re in the digital age – and it’s called PDF Suite.  And I went in and I verified that it was 14-point and it was 12-point and it was 8-point.  And just the other day </w:t>
      </w:r>
      <w:r>
        <w:lastRenderedPageBreak/>
        <w:t>I did a printout, a print screen, to show how I verified the type sizes.</w:t>
      </w:r>
      <w:r w:rsidR="002C071A">
        <w:t> . . .</w:t>
      </w:r>
      <w:r>
        <w:t xml:space="preserve">  [T]here is no way that you can just measure a capital letter and determine what the type size is.  So every time you go to your computer and you say, hey, I’m going to use 14-point, you click on it, and depending on what type font you use will determine the strength of the letter that you’re going to see; the overall height of the capital letters, the </w:t>
      </w:r>
      <w:proofErr w:type="spellStart"/>
      <w:r>
        <w:t>descenders</w:t>
      </w:r>
      <w:proofErr w:type="spellEnd"/>
      <w:r>
        <w:t>, et cetera.</w:t>
      </w:r>
    </w:p>
    <w:p w:rsidR="00A017EE" w:rsidRDefault="00F0472E" w:rsidP="00E4656F">
      <w:pPr>
        <w:pStyle w:val="Standard"/>
        <w:spacing w:line="240" w:lineRule="auto"/>
      </w:pPr>
      <w:r>
        <w:tab/>
      </w:r>
      <w:r w:rsidR="008E40DF">
        <w:t xml:space="preserve">Printer Michael </w:t>
      </w:r>
      <w:proofErr w:type="spellStart"/>
      <w:r w:rsidR="008E40DF">
        <w:t>Migrin</w:t>
      </w:r>
      <w:proofErr w:type="spellEnd"/>
      <w:r w:rsidR="008E40DF">
        <w:t xml:space="preserve">, </w:t>
      </w:r>
      <w:r w:rsidR="00A607DE">
        <w:t>a 1971 graduate of Ferris State College in the field of graphic reproduction technology</w:t>
      </w:r>
      <w:r w:rsidR="008E40DF">
        <w:t xml:space="preserve">, </w:t>
      </w:r>
      <w:r w:rsidR="00D5620C">
        <w:t>stated his opinion</w:t>
      </w:r>
      <w:r w:rsidR="008E40DF">
        <w:t xml:space="preserve"> that the petition heading </w:t>
      </w:r>
      <w:r w:rsidR="0071446E">
        <w:t xml:space="preserve">is </w:t>
      </w:r>
      <w:r w:rsidR="008E40DF">
        <w:t xml:space="preserve">in </w:t>
      </w:r>
      <w:r w:rsidR="00A607DE">
        <w:t xml:space="preserve">14-point type.  </w:t>
      </w:r>
      <w:r>
        <w:t xml:space="preserve">He indicated that </w:t>
      </w:r>
      <w:r w:rsidR="006B6FFE">
        <w:t xml:space="preserve">actual </w:t>
      </w:r>
      <w:r>
        <w:t xml:space="preserve">type size can vary:  “Now if you would look at every one of these manufactures, their sizes are a little different and their styles are a little different.  It all depends on who the manufacturer is.”  Rather than a ruler, </w:t>
      </w:r>
      <w:proofErr w:type="spellStart"/>
      <w:r>
        <w:t>Migrin</w:t>
      </w:r>
      <w:proofErr w:type="spellEnd"/>
      <w:r>
        <w:t xml:space="preserve"> used a printer</w:t>
      </w:r>
      <w:r w:rsidR="00E262E5">
        <w:t>’</w:t>
      </w:r>
      <w:r>
        <w:t>s “cell” and a magnifying glass to measure the type size:  “So I would invite anybody to take this cell and have a ten-power magnifying glass and to lay this cell onto this typeface here and compare if it is 14-point or not.”  He stated that every time something is printed, a slight change occurs from the original, so minute differences will occur.  He demonstrated the differences between two point sizes, one a 12-point and the other a 14-point, and stated</w:t>
      </w:r>
      <w:r w:rsidR="006B78ED">
        <w:t>,</w:t>
      </w:r>
      <w:r>
        <w:t xml:space="preserve"> “[I]f you look at it closely, you can see there’s a slight difference in the shoulder on the type.  And if you look at the character, the characters themselves are almost the same height, yet there’s a shoulder which we refer to as the internal leading.  This will give you a little better example of what I’m talking about as far as how the difference can vary.”</w:t>
      </w:r>
    </w:p>
    <w:p w:rsidR="00107906" w:rsidRDefault="008E40DF" w:rsidP="00E4656F">
      <w:pPr>
        <w:pStyle w:val="Standard"/>
        <w:spacing w:line="240" w:lineRule="auto"/>
        <w:ind w:firstLine="720"/>
      </w:pPr>
      <w:r>
        <w:t xml:space="preserve">Board </w:t>
      </w:r>
      <w:r w:rsidR="00A607DE">
        <w:t xml:space="preserve">Member </w:t>
      </w:r>
      <w:r>
        <w:t xml:space="preserve">James </w:t>
      </w:r>
      <w:r w:rsidR="00A607DE">
        <w:t xml:space="preserve">Waters moved that the Board approve the petition </w:t>
      </w:r>
      <w:r w:rsidR="002A753A">
        <w:t>because it complie</w:t>
      </w:r>
      <w:r w:rsidR="006B6FFE">
        <w:t>d</w:t>
      </w:r>
      <w:r w:rsidR="00A607DE">
        <w:t xml:space="preserve"> </w:t>
      </w:r>
      <w:r w:rsidR="0071446E">
        <w:t xml:space="preserve">with the number of </w:t>
      </w:r>
      <w:r w:rsidR="00A607DE">
        <w:t xml:space="preserve">signatures and </w:t>
      </w:r>
      <w:r w:rsidR="0071446E">
        <w:t xml:space="preserve">with </w:t>
      </w:r>
      <w:r w:rsidR="00A607DE">
        <w:t>the statutory requirements</w:t>
      </w:r>
      <w:r w:rsidR="0071446E">
        <w:t xml:space="preserve">.  His motion included a </w:t>
      </w:r>
      <w:r>
        <w:t>reject</w:t>
      </w:r>
      <w:r w:rsidR="0071446E">
        <w:t>ion of</w:t>
      </w:r>
      <w:r w:rsidR="00A607DE">
        <w:t xml:space="preserve"> the challenge.  </w:t>
      </w:r>
      <w:r>
        <w:t xml:space="preserve">Board Chairperson Julie </w:t>
      </w:r>
      <w:proofErr w:type="spellStart"/>
      <w:r w:rsidR="00A607DE">
        <w:t>Matuzak</w:t>
      </w:r>
      <w:proofErr w:type="spellEnd"/>
      <w:r w:rsidR="00A607DE">
        <w:t xml:space="preserve"> seconded his motion.  Member </w:t>
      </w:r>
      <w:r>
        <w:t xml:space="preserve">Norman </w:t>
      </w:r>
      <w:proofErr w:type="spellStart"/>
      <w:r w:rsidR="00A607DE">
        <w:t>Shinkle</w:t>
      </w:r>
      <w:proofErr w:type="spellEnd"/>
      <w:r>
        <w:t>, the Board’s Vice Chairperson,</w:t>
      </w:r>
      <w:r w:rsidR="00A607DE">
        <w:t xml:space="preserve"> believed a legitimate question existed </w:t>
      </w:r>
      <w:r w:rsidR="0071446E">
        <w:t xml:space="preserve">regarding </w:t>
      </w:r>
      <w:r w:rsidR="00A607DE">
        <w:t>the size of the words</w:t>
      </w:r>
      <w:r w:rsidR="008C6585">
        <w:t xml:space="preserve"> and </w:t>
      </w:r>
      <w:r w:rsidR="00A607DE">
        <w:t xml:space="preserve">cited </w:t>
      </w:r>
      <w:r w:rsidR="00A607DE">
        <w:rPr>
          <w:i/>
        </w:rPr>
        <w:t xml:space="preserve">The Tea Party v </w:t>
      </w:r>
      <w:proofErr w:type="spellStart"/>
      <w:r w:rsidR="00735D85">
        <w:rPr>
          <w:i/>
        </w:rPr>
        <w:t>Bd</w:t>
      </w:r>
      <w:proofErr w:type="spellEnd"/>
      <w:r w:rsidR="00735D85">
        <w:rPr>
          <w:i/>
        </w:rPr>
        <w:t xml:space="preserve"> </w:t>
      </w:r>
      <w:r w:rsidR="00A607DE">
        <w:rPr>
          <w:i/>
        </w:rPr>
        <w:t>of State Canvassers</w:t>
      </w:r>
      <w:r w:rsidR="006B78ED">
        <w:t xml:space="preserve">, </w:t>
      </w:r>
      <w:r w:rsidR="00A607DE">
        <w:t xml:space="preserve">unpublished order </w:t>
      </w:r>
      <w:r w:rsidR="006B78ED">
        <w:t>of the Court of Appeals, entered</w:t>
      </w:r>
      <w:r w:rsidR="00A607DE">
        <w:t xml:space="preserve"> </w:t>
      </w:r>
      <w:r w:rsidR="006B78ED">
        <w:t>August 30, 2010 (</w:t>
      </w:r>
      <w:r w:rsidR="00A607DE">
        <w:t>Docket Nos. 299766</w:t>
      </w:r>
      <w:r w:rsidR="006B78ED">
        <w:t xml:space="preserve"> &amp;</w:t>
      </w:r>
      <w:r w:rsidR="00A607DE">
        <w:t xml:space="preserve"> 299805).</w:t>
      </w:r>
      <w:r w:rsidR="00BC50C4">
        <w:rPr>
          <w:rStyle w:val="FootnoteReference"/>
        </w:rPr>
        <w:footnoteReference w:id="6"/>
      </w:r>
      <w:r w:rsidR="00A607DE">
        <w:t xml:space="preserve">  Member </w:t>
      </w:r>
      <w:r w:rsidR="008C6585">
        <w:t xml:space="preserve">Jeffrey </w:t>
      </w:r>
      <w:proofErr w:type="spellStart"/>
      <w:r w:rsidR="00A607DE">
        <w:t>Timmer</w:t>
      </w:r>
      <w:proofErr w:type="spellEnd"/>
      <w:r w:rsidR="00A607DE">
        <w:t xml:space="preserve"> said that he found no wiggle room</w:t>
      </w:r>
      <w:r w:rsidR="008C6585">
        <w:t xml:space="preserve"> in the statutory term “shall” such that </w:t>
      </w:r>
      <w:r w:rsidR="00A607DE">
        <w:t xml:space="preserve">the Board was bound by that term.  Waters and </w:t>
      </w:r>
      <w:proofErr w:type="spellStart"/>
      <w:r w:rsidR="00A607DE">
        <w:t>Matuzak</w:t>
      </w:r>
      <w:proofErr w:type="spellEnd"/>
      <w:r w:rsidR="00A607DE">
        <w:t xml:space="preserve"> voted </w:t>
      </w:r>
      <w:r w:rsidR="002016B0">
        <w:t xml:space="preserve">in favor of </w:t>
      </w:r>
      <w:r w:rsidR="00A607DE">
        <w:t>certify</w:t>
      </w:r>
      <w:r w:rsidR="002016B0">
        <w:t>ing</w:t>
      </w:r>
      <w:r w:rsidR="00A607DE">
        <w:t xml:space="preserve"> the petition; </w:t>
      </w:r>
      <w:proofErr w:type="spellStart"/>
      <w:r w:rsidR="00A607DE">
        <w:t>Shinkle</w:t>
      </w:r>
      <w:proofErr w:type="spellEnd"/>
      <w:r w:rsidR="00A607DE">
        <w:t xml:space="preserve"> and </w:t>
      </w:r>
      <w:proofErr w:type="spellStart"/>
      <w:r w:rsidR="00A607DE">
        <w:t>Timmer</w:t>
      </w:r>
      <w:proofErr w:type="spellEnd"/>
      <w:r w:rsidR="00A607DE">
        <w:t xml:space="preserve"> </w:t>
      </w:r>
      <w:r w:rsidR="002016B0">
        <w:t xml:space="preserve">voted against certifying </w:t>
      </w:r>
      <w:r w:rsidR="00A607DE">
        <w:t xml:space="preserve">the petition.  </w:t>
      </w:r>
      <w:r w:rsidR="000A1CA1">
        <w:t xml:space="preserve">Because of the </w:t>
      </w:r>
      <w:r w:rsidR="00A607DE">
        <w:t>Board</w:t>
      </w:r>
      <w:r w:rsidR="000A1CA1">
        <w:t>’s tie vote,</w:t>
      </w:r>
      <w:r w:rsidR="00A607DE">
        <w:t xml:space="preserve"> the petition was not certified.</w:t>
      </w:r>
      <w:r w:rsidR="00A607DE">
        <w:rPr>
          <w:rStyle w:val="FootnoteReference"/>
        </w:rPr>
        <w:footnoteReference w:id="7"/>
      </w:r>
    </w:p>
    <w:p w:rsidR="006B6FFE" w:rsidRDefault="006B6FFE" w:rsidP="00E4656F">
      <w:pPr>
        <w:pStyle w:val="Standard"/>
        <w:tabs>
          <w:tab w:val="left" w:pos="720"/>
        </w:tabs>
        <w:spacing w:line="240" w:lineRule="auto"/>
        <w:jc w:val="center"/>
      </w:pPr>
      <w:r>
        <w:t>E</w:t>
      </w:r>
    </w:p>
    <w:p w:rsidR="00107906" w:rsidRDefault="00A607DE" w:rsidP="00E4656F">
      <w:pPr>
        <w:pStyle w:val="Standard"/>
        <w:spacing w:line="240" w:lineRule="auto"/>
      </w:pPr>
      <w:r>
        <w:tab/>
      </w:r>
      <w:r w:rsidR="00BB7AD7">
        <w:t xml:space="preserve">Plaintiff thereafter filed the instant complaint for mandamus in this Court.  </w:t>
      </w:r>
      <w:r w:rsidR="00BD7375">
        <w:t xml:space="preserve">In its </w:t>
      </w:r>
      <w:r w:rsidR="00866779">
        <w:t xml:space="preserve">brief </w:t>
      </w:r>
      <w:r w:rsidR="00152010">
        <w:t>in support of</w:t>
      </w:r>
      <w:r w:rsidR="00866779">
        <w:t xml:space="preserve"> expedited consideration</w:t>
      </w:r>
      <w:r w:rsidR="00BD7375">
        <w:t xml:space="preserve">, plaintiff </w:t>
      </w:r>
      <w:r w:rsidR="004F420E">
        <w:t>argued</w:t>
      </w:r>
      <w:r w:rsidR="00BD7375">
        <w:t xml:space="preserve"> that “the type size of the petition was in 14 </w:t>
      </w:r>
      <w:r w:rsidR="00BD7375">
        <w:lastRenderedPageBreak/>
        <w:t xml:space="preserve">point </w:t>
      </w:r>
      <w:proofErr w:type="gramStart"/>
      <w:r w:rsidR="001F6DEC" w:rsidRPr="001F6DEC">
        <w:rPr>
          <w:i/>
        </w:rPr>
        <w:t>font</w:t>
      </w:r>
      <w:r w:rsidR="00BD7375">
        <w:t> .</w:t>
      </w:r>
      <w:proofErr w:type="gramEnd"/>
      <w:r w:rsidR="00BD7375">
        <w:t xml:space="preserve"> . . in accordance with MCL 168.482(1),” </w:t>
      </w:r>
      <w:r w:rsidR="004F420E">
        <w:t xml:space="preserve">and that as </w:t>
      </w:r>
      <w:r w:rsidR="00BB7AD7">
        <w:t>such</w:t>
      </w:r>
      <w:r w:rsidR="004F420E">
        <w:t>,</w:t>
      </w:r>
      <w:r w:rsidR="00BB7AD7">
        <w:t xml:space="preserve"> it has a clear legal right to certification of the petition and defendants have a clear duty to certify the petition.  </w:t>
      </w:r>
      <w:r w:rsidR="00BB3CFC">
        <w:t xml:space="preserve">(Emphasis added.)  </w:t>
      </w:r>
      <w:r w:rsidR="00BB7AD7">
        <w:t xml:space="preserve">Plaintiff </w:t>
      </w:r>
      <w:r w:rsidR="00D5620C">
        <w:t xml:space="preserve">argues in the alternative </w:t>
      </w:r>
      <w:r w:rsidR="00BB7AD7">
        <w:t xml:space="preserve">that even if the heading is not 14-point, </w:t>
      </w:r>
      <w:r w:rsidR="00D5620C">
        <w:t xml:space="preserve">under </w:t>
      </w:r>
      <w:r w:rsidR="00BB7AD7">
        <w:t>the relevant case law</w:t>
      </w:r>
      <w:r w:rsidR="00D5620C">
        <w:t>,</w:t>
      </w:r>
      <w:r w:rsidR="00BB7AD7">
        <w:t xml:space="preserve"> only substantial compliance with the type</w:t>
      </w:r>
      <w:r w:rsidR="002D535E">
        <w:t>-</w:t>
      </w:r>
      <w:r w:rsidR="00BB7AD7">
        <w:t xml:space="preserve">size </w:t>
      </w:r>
      <w:r w:rsidR="00D5620C">
        <w:t xml:space="preserve">requirement </w:t>
      </w:r>
      <w:r w:rsidR="00BB7AD7">
        <w:t>is necessary</w:t>
      </w:r>
      <w:r w:rsidR="00CB7B4F">
        <w:t>,</w:t>
      </w:r>
      <w:r w:rsidR="00BB7AD7">
        <w:t xml:space="preserve"> and the petition heading substantially complies with the 14-point type requirement.  Plaintiff also maintains that the act of certifying the petition is ministerial and states that it has no other legal or equitable remedy.  Plaintiff contends that </w:t>
      </w:r>
      <w:proofErr w:type="spellStart"/>
      <w:r w:rsidR="00BB7AD7">
        <w:t>CFR’s</w:t>
      </w:r>
      <w:proofErr w:type="spellEnd"/>
      <w:r w:rsidR="00BB7AD7">
        <w:t xml:space="preserve"> additional challenges were not within the jurisdiction of the Board, which had no authority to review the merits of the referendum, and that to the extent that the challenges should be reviewed, they are devoid of legal merit</w:t>
      </w:r>
      <w:r w:rsidR="00A017EE">
        <w:t>.</w:t>
      </w:r>
    </w:p>
    <w:p w:rsidR="00107906" w:rsidRDefault="00A607DE" w:rsidP="00E4656F">
      <w:pPr>
        <w:pStyle w:val="Standard"/>
        <w:spacing w:line="240" w:lineRule="auto"/>
      </w:pPr>
      <w:r>
        <w:tab/>
        <w:t>Defendants the Board and the Secretary together answer that, although the Board has a legal duty to declare the sufficiency or insufficiency of plaintiff’s petition, the Board was unable to pass a motion to do so given the deadlock.  Defendants admit that</w:t>
      </w:r>
      <w:r w:rsidR="00983907">
        <w:t xml:space="preserve"> </w:t>
      </w:r>
      <w:r>
        <w:t>the constitution, election law</w:t>
      </w:r>
      <w:r w:rsidR="00C901CA">
        <w:t>,</w:t>
      </w:r>
      <w:r>
        <w:t xml:space="preserve"> and instructions from the Secretary do not require a particular font for petitions</w:t>
      </w:r>
      <w:r w:rsidR="00983907">
        <w:t>, but defendants also assert that these</w:t>
      </w:r>
      <w:r w:rsidR="005303FE">
        <w:t xml:space="preserve"> authorities </w:t>
      </w:r>
      <w:r>
        <w:t xml:space="preserve">do not indicate how type size should be measured in the event of a dispute.  Defendants </w:t>
      </w:r>
      <w:r w:rsidR="00983907">
        <w:t xml:space="preserve">further </w:t>
      </w:r>
      <w:r>
        <w:t xml:space="preserve">contend that </w:t>
      </w:r>
      <w:r w:rsidR="002016B0" w:rsidRPr="002016B0">
        <w:t>there is</w:t>
      </w:r>
      <w:r w:rsidR="002016B0">
        <w:rPr>
          <w:i/>
        </w:rPr>
        <w:t xml:space="preserve"> </w:t>
      </w:r>
      <w:r>
        <w:t xml:space="preserve">uncertainty </w:t>
      </w:r>
      <w:r w:rsidR="005303FE">
        <w:t xml:space="preserve">in the law </w:t>
      </w:r>
      <w:r>
        <w:t xml:space="preserve">with respect to whether the Board may review </w:t>
      </w:r>
      <w:r w:rsidR="00983907">
        <w:t xml:space="preserve">the </w:t>
      </w:r>
      <w:r>
        <w:t xml:space="preserve">type size </w:t>
      </w:r>
      <w:r w:rsidR="00983907">
        <w:t xml:space="preserve">of petitions </w:t>
      </w:r>
      <w:r>
        <w:t>under a substantial compliance standard.</w:t>
      </w:r>
    </w:p>
    <w:p w:rsidR="00107906" w:rsidRDefault="00A607DE" w:rsidP="00E4656F">
      <w:pPr>
        <w:pStyle w:val="Standard"/>
        <w:spacing w:line="240" w:lineRule="auto"/>
      </w:pPr>
      <w:r>
        <w:tab/>
      </w:r>
      <w:proofErr w:type="spellStart"/>
      <w:r>
        <w:t>CFR</w:t>
      </w:r>
      <w:proofErr w:type="spellEnd"/>
      <w:r>
        <w:t xml:space="preserve"> </w:t>
      </w:r>
      <w:r w:rsidR="006B78ED">
        <w:t>intervened in the mandamus action</w:t>
      </w:r>
      <w:r w:rsidR="00B0473F">
        <w:rPr>
          <w:rStyle w:val="FootnoteReference"/>
        </w:rPr>
        <w:footnoteReference w:id="8"/>
      </w:r>
      <w:r w:rsidR="006B78ED">
        <w:t xml:space="preserve"> and argued</w:t>
      </w:r>
      <w:r>
        <w:t xml:space="preserve"> that the Board had a clear legal duty to deny the </w:t>
      </w:r>
      <w:r w:rsidR="005303FE">
        <w:t xml:space="preserve">certification of the </w:t>
      </w:r>
      <w:r>
        <w:t>petition</w:t>
      </w:r>
      <w:r w:rsidR="009630E3">
        <w:t>, on the basis that</w:t>
      </w:r>
      <w:r>
        <w:t xml:space="preserve"> the </w:t>
      </w:r>
      <w:r w:rsidR="00BB7AD7">
        <w:t xml:space="preserve">petition heading is </w:t>
      </w:r>
      <w:r w:rsidR="00761014">
        <w:t xml:space="preserve">“nonconforming on its face” </w:t>
      </w:r>
      <w:r w:rsidR="009630E3">
        <w:t>because</w:t>
      </w:r>
      <w:r w:rsidR="00761014">
        <w:t xml:space="preserve"> it does not meet</w:t>
      </w:r>
      <w:r>
        <w:t xml:space="preserve"> the 14-point </w:t>
      </w:r>
      <w:r w:rsidR="00BB7AD7">
        <w:t xml:space="preserve">type </w:t>
      </w:r>
      <w:r w:rsidR="00761014">
        <w:t xml:space="preserve">size </w:t>
      </w:r>
      <w:r>
        <w:t>require</w:t>
      </w:r>
      <w:r w:rsidR="00761014">
        <w:t>ment</w:t>
      </w:r>
      <w:r w:rsidR="00BB7AD7">
        <w:t>, a defect that could have been remedie</w:t>
      </w:r>
      <w:r w:rsidR="006B78ED">
        <w:t>d</w:t>
      </w:r>
      <w:r w:rsidR="00BB7AD7">
        <w:t xml:space="preserve"> before circulation of the petitions i</w:t>
      </w:r>
      <w:r w:rsidR="006B78ED">
        <w:t>f</w:t>
      </w:r>
      <w:r w:rsidR="00BB7AD7">
        <w:t xml:space="preserve"> p</w:t>
      </w:r>
      <w:r>
        <w:t xml:space="preserve">laintiff </w:t>
      </w:r>
      <w:r w:rsidR="00BB7AD7">
        <w:t>had</w:t>
      </w:r>
      <w:r>
        <w:t xml:space="preserve"> follow</w:t>
      </w:r>
      <w:r w:rsidR="00BB7AD7">
        <w:t>ed</w:t>
      </w:r>
      <w:r>
        <w:t xml:space="preserve"> the standard protocol </w:t>
      </w:r>
      <w:r w:rsidR="00BB7AD7">
        <w:t xml:space="preserve">to </w:t>
      </w:r>
      <w:r>
        <w:t xml:space="preserve">obtain preapproval </w:t>
      </w:r>
      <w:r w:rsidR="00BB7AD7">
        <w:t xml:space="preserve">of </w:t>
      </w:r>
      <w:r>
        <w:t>the petition</w:t>
      </w:r>
      <w:r w:rsidR="00BB7AD7">
        <w:t xml:space="preserve"> form</w:t>
      </w:r>
      <w:r>
        <w:t xml:space="preserve">.  </w:t>
      </w:r>
      <w:proofErr w:type="spellStart"/>
      <w:r>
        <w:t>CFR</w:t>
      </w:r>
      <w:proofErr w:type="spellEnd"/>
      <w:r>
        <w:t xml:space="preserve"> also argues that plaintiff cannot rely on the substantial compliance standard because the statute</w:t>
      </w:r>
      <w:r w:rsidR="00BB7AD7">
        <w:t>’s mandatory</w:t>
      </w:r>
      <w:r>
        <w:t xml:space="preserve"> </w:t>
      </w:r>
      <w:r w:rsidR="00E262E5">
        <w:t xml:space="preserve">language (“shall”) </w:t>
      </w:r>
      <w:r>
        <w:t>require</w:t>
      </w:r>
      <w:r w:rsidR="00E262E5">
        <w:t>s</w:t>
      </w:r>
      <w:r w:rsidR="00BB7AD7">
        <w:t xml:space="preserve"> </w:t>
      </w:r>
      <w:r>
        <w:t xml:space="preserve">the heading to be </w:t>
      </w:r>
      <w:r w:rsidR="00E262E5">
        <w:t xml:space="preserve">of </w:t>
      </w:r>
      <w:r>
        <w:t xml:space="preserve">14-point type.  </w:t>
      </w:r>
      <w:r w:rsidR="005303FE">
        <w:t xml:space="preserve">Additionally, </w:t>
      </w:r>
      <w:proofErr w:type="spellStart"/>
      <w:r>
        <w:t>CFR</w:t>
      </w:r>
      <w:proofErr w:type="spellEnd"/>
      <w:r>
        <w:t xml:space="preserve"> contends that the summary of the proposal is incomplete and misleading.  </w:t>
      </w:r>
      <w:r w:rsidR="005303FE">
        <w:t>Finally</w:t>
      </w:r>
      <w:r>
        <w:t xml:space="preserve">, </w:t>
      </w:r>
      <w:proofErr w:type="spellStart"/>
      <w:r>
        <w:t>CFR</w:t>
      </w:r>
      <w:proofErr w:type="spellEnd"/>
      <w:r>
        <w:t xml:space="preserve"> states that plaintiff failed to completely republish the prior act, the effective date of the Act, and the public act tie-barred to the Act.</w:t>
      </w:r>
    </w:p>
    <w:p w:rsidR="000514AF" w:rsidRDefault="000514AF" w:rsidP="00E4656F">
      <w:pPr>
        <w:pStyle w:val="Standard"/>
        <w:spacing w:line="240" w:lineRule="auto"/>
      </w:pPr>
      <w:r>
        <w:tab/>
        <w:t xml:space="preserve">In their </w:t>
      </w:r>
      <w:proofErr w:type="spellStart"/>
      <w:r w:rsidR="00115445" w:rsidRPr="005F0050">
        <w:t>amici</w:t>
      </w:r>
      <w:proofErr w:type="spellEnd"/>
      <w:r w:rsidR="00115445" w:rsidRPr="005F0050">
        <w:t xml:space="preserve"> curiae</w:t>
      </w:r>
      <w:r>
        <w:t xml:space="preserve"> brief, the Governor and the Attorney General assert that plaintiff’s petition does not comply with the mandatory requirements of MCL 168.482 because the header is not in 14-point type.  They further maintain that modern computer software fonts cannot be equated to the long-established printer’s standard adopted by the Legislature in 1954 and to which the statute continues to adhere.  In the view of the Governor and the Attorney General, there is no evidence that the Legislature ever contemplated allowing the measurement standards established in MCL 168.482 to be flexibly applied because of the variability in text size inherent </w:t>
      </w:r>
      <w:r w:rsidR="00451490">
        <w:t xml:space="preserve">in </w:t>
      </w:r>
      <w:r w:rsidR="00E00795">
        <w:t xml:space="preserve">diverse </w:t>
      </w:r>
      <w:r w:rsidR="007174B5">
        <w:t xml:space="preserve">and evolving </w:t>
      </w:r>
      <w:r w:rsidR="00BE1885">
        <w:t xml:space="preserve">word processing </w:t>
      </w:r>
      <w:r>
        <w:t>technology.  Finally, the Governor and the Attorney General contend that the only way to verify type size is by using an E-scale printer’s ruler and that plaintiff either should have used such a ruler to ensure that the type met the standard or, alternatively, that plaintiff should have obtained preapproval from the Secretary to establish compliance with the statute.</w:t>
      </w:r>
    </w:p>
    <w:p w:rsidR="000514AF" w:rsidRDefault="000514AF" w:rsidP="00E4656F">
      <w:pPr>
        <w:pStyle w:val="Standard"/>
        <w:spacing w:line="240" w:lineRule="auto"/>
      </w:pPr>
      <w:r>
        <w:lastRenderedPageBreak/>
        <w:tab/>
        <w:t xml:space="preserve">The American Civil Liberties Union Fund of Michigan (ACLU) also filed </w:t>
      </w:r>
      <w:proofErr w:type="gramStart"/>
      <w:r>
        <w:t>an amicus</w:t>
      </w:r>
      <w:proofErr w:type="gramEnd"/>
      <w:r>
        <w:t xml:space="preserve"> curiae brief and argues that plaintiff’s petition is compliant with all statutory requirements.  Alternatively, ACLU claims that even if the petition heading does not strictly comply with the statutorily mandated type size, the petition heading substantially complies with the statutory requirements, and certification of the referendum petition should occur without regard to the substance of the proposed referendum or any technical deficiencies that have little or no effect on signers.</w:t>
      </w:r>
    </w:p>
    <w:p w:rsidR="00107906" w:rsidRDefault="00974F8F" w:rsidP="00E4656F">
      <w:pPr>
        <w:pStyle w:val="Standard"/>
        <w:spacing w:line="240" w:lineRule="auto"/>
        <w:jc w:val="center"/>
      </w:pPr>
      <w:r>
        <w:t>II</w:t>
      </w:r>
    </w:p>
    <w:p w:rsidR="001F4F1F" w:rsidRDefault="00EF491E" w:rsidP="00E4656F">
      <w:pPr>
        <w:pStyle w:val="Standard"/>
        <w:spacing w:line="240" w:lineRule="auto"/>
        <w:jc w:val="center"/>
      </w:pPr>
      <w:r>
        <w:t>A</w:t>
      </w:r>
    </w:p>
    <w:p w:rsidR="00C105EB" w:rsidRDefault="00A25CBF" w:rsidP="00E4656F">
      <w:pPr>
        <w:pStyle w:val="Standard"/>
        <w:spacing w:line="240" w:lineRule="auto"/>
      </w:pPr>
      <w:r>
        <w:tab/>
        <w:t>This Court has jurisdiction over an original action for mandamus against a “state officer.”  MCR 7.203(C</w:t>
      </w:r>
      <w:proofErr w:type="gramStart"/>
      <w:r>
        <w:t>)(</w:t>
      </w:r>
      <w:proofErr w:type="gramEnd"/>
      <w:r>
        <w:t xml:space="preserve">2), citing MCL 600.4401.  For purposes of mandamus, the Secretary and the Board are “state officers.”  </w:t>
      </w:r>
      <w:r>
        <w:rPr>
          <w:i/>
        </w:rPr>
        <w:t>Citizens Protecting Michigan</w:t>
      </w:r>
      <w:r w:rsidR="00DD52ED">
        <w:rPr>
          <w:i/>
        </w:rPr>
        <w:t>’s</w:t>
      </w:r>
      <w:r>
        <w:rPr>
          <w:i/>
        </w:rPr>
        <w:t xml:space="preserve"> Constitution v </w:t>
      </w:r>
      <w:proofErr w:type="spellStart"/>
      <w:r>
        <w:rPr>
          <w:i/>
        </w:rPr>
        <w:t>Sec</w:t>
      </w:r>
      <w:r w:rsidR="00DD52ED">
        <w:rPr>
          <w:i/>
        </w:rPr>
        <w:t>’</w:t>
      </w:r>
      <w:r>
        <w:rPr>
          <w:i/>
        </w:rPr>
        <w:t>y</w:t>
      </w:r>
      <w:proofErr w:type="spellEnd"/>
      <w:r>
        <w:rPr>
          <w:i/>
        </w:rPr>
        <w:t xml:space="preserve"> of State</w:t>
      </w:r>
      <w:r w:rsidRPr="00DD52ED">
        <w:t>,</w:t>
      </w:r>
      <w:r>
        <w:rPr>
          <w:i/>
        </w:rPr>
        <w:t xml:space="preserve"> </w:t>
      </w:r>
      <w:r>
        <w:t xml:space="preserve">280 Mich App 273, 282; 755 NW2d 157 (2008), </w:t>
      </w:r>
      <w:proofErr w:type="spellStart"/>
      <w:r>
        <w:t>aff’d</w:t>
      </w:r>
      <w:proofErr w:type="spellEnd"/>
      <w:r>
        <w:t xml:space="preserve"> in result only 482 Mich 960 (2008).  Further, Michigan Election Law provides that a person aggrieved by a decision of the Board may seek relief in the form of mandamus.  </w:t>
      </w:r>
      <w:proofErr w:type="gramStart"/>
      <w:r>
        <w:t>MCL 168.479.</w:t>
      </w:r>
      <w:proofErr w:type="gramEnd"/>
      <w:r>
        <w:rPr>
          <w:rStyle w:val="FootnoteReference"/>
        </w:rPr>
        <w:footnoteReference w:id="9"/>
      </w:r>
    </w:p>
    <w:p w:rsidR="0033484B" w:rsidRDefault="00862017" w:rsidP="00E4656F">
      <w:pPr>
        <w:pStyle w:val="Standard"/>
        <w:spacing w:line="240" w:lineRule="auto"/>
        <w:jc w:val="center"/>
      </w:pPr>
      <w:r>
        <w:t>B</w:t>
      </w:r>
    </w:p>
    <w:p w:rsidR="00EE4230" w:rsidRDefault="00EE4230" w:rsidP="00E4656F">
      <w:pPr>
        <w:pStyle w:val="Standard"/>
        <w:spacing w:line="240" w:lineRule="auto"/>
      </w:pPr>
      <w:r>
        <w:tab/>
        <w:t xml:space="preserve">This Court reviews de novo as questions of law whether a defendant has a clear legal duty to perform and whether a plaintiff has a clear legal right to performance.  See </w:t>
      </w:r>
      <w:r>
        <w:rPr>
          <w:i/>
        </w:rPr>
        <w:t>In re MCI</w:t>
      </w:r>
      <w:r w:rsidRPr="00DD52ED">
        <w:t xml:space="preserve">, </w:t>
      </w:r>
      <w:r>
        <w:t xml:space="preserve">460 Mich 396, 443-444; 596 NW2d 164 (1999).  </w:t>
      </w:r>
      <w:r w:rsidR="00F0472E">
        <w:t xml:space="preserve">Issues regarding the application of a statute are questions of law.  </w:t>
      </w:r>
      <w:proofErr w:type="spellStart"/>
      <w:proofErr w:type="gramStart"/>
      <w:r w:rsidR="00F0472E">
        <w:rPr>
          <w:i/>
        </w:rPr>
        <w:t>Danse</w:t>
      </w:r>
      <w:proofErr w:type="spellEnd"/>
      <w:r w:rsidR="00F0472E">
        <w:rPr>
          <w:i/>
        </w:rPr>
        <w:t xml:space="preserve"> Corp v City of Madison Heights</w:t>
      </w:r>
      <w:r w:rsidR="00F0472E" w:rsidRPr="00DD52ED">
        <w:t>,</w:t>
      </w:r>
      <w:r w:rsidR="00F0472E">
        <w:rPr>
          <w:i/>
        </w:rPr>
        <w:t xml:space="preserve"> </w:t>
      </w:r>
      <w:r w:rsidR="00F0472E">
        <w:t>466 Mich 175, 178; 644 NW2d 721 (2002).</w:t>
      </w:r>
      <w:proofErr w:type="gramEnd"/>
      <w:r w:rsidR="00F0472E">
        <w:t xml:space="preserve"> </w:t>
      </w:r>
      <w:r w:rsidR="00F0472E">
        <w:rPr>
          <w:i/>
        </w:rPr>
        <w:t xml:space="preserve"> </w:t>
      </w:r>
      <w:r w:rsidR="005F4000">
        <w:t>Courts review</w:t>
      </w:r>
      <w:r w:rsidR="007C01B0">
        <w:t xml:space="preserve"> questions of law</w:t>
      </w:r>
      <w:r w:rsidR="005F4000">
        <w:t xml:space="preserve"> under a de novo standard</w:t>
      </w:r>
      <w:r>
        <w:t xml:space="preserve">.  </w:t>
      </w:r>
      <w:proofErr w:type="spellStart"/>
      <w:proofErr w:type="gramStart"/>
      <w:r w:rsidR="005F4000" w:rsidRPr="005F4000">
        <w:rPr>
          <w:i/>
        </w:rPr>
        <w:t>Loweke</w:t>
      </w:r>
      <w:proofErr w:type="spellEnd"/>
      <w:r w:rsidR="005F4000" w:rsidRPr="005F4000">
        <w:rPr>
          <w:i/>
        </w:rPr>
        <w:t xml:space="preserve"> v Ann Arbor Ceiling &amp; Partition Co, LLC</w:t>
      </w:r>
      <w:r w:rsidR="005F4000" w:rsidRPr="00EB6AA6">
        <w:t xml:space="preserve">, </w:t>
      </w:r>
      <w:r w:rsidR="005F4000" w:rsidRPr="005F4000">
        <w:t>489 Mich 157, 162; 809 NW2d 553</w:t>
      </w:r>
      <w:r w:rsidR="00BC50C4">
        <w:t xml:space="preserve"> </w:t>
      </w:r>
      <w:r w:rsidR="005F4000" w:rsidRPr="005F4000">
        <w:t>(2011)</w:t>
      </w:r>
      <w:r w:rsidR="005F4000">
        <w:rPr>
          <w:i/>
        </w:rPr>
        <w:t>.</w:t>
      </w:r>
      <w:proofErr w:type="gramEnd"/>
      <w:r w:rsidR="005F4000" w:rsidRPr="008F4029">
        <w:t xml:space="preserve">  </w:t>
      </w:r>
      <w:r>
        <w:t xml:space="preserve">Additionally, this Court reviews de novo issues of statutory interpretation.  </w:t>
      </w:r>
      <w:proofErr w:type="gramStart"/>
      <w:r>
        <w:rPr>
          <w:i/>
          <w:iCs/>
        </w:rPr>
        <w:t>Eggleston v Bio-Medical Applications of Detroit, Inc</w:t>
      </w:r>
      <w:r>
        <w:t xml:space="preserve">, 468 Mich 29, 32; 658 NW2d 139 (2003); </w:t>
      </w:r>
      <w:r w:rsidRPr="00D746F8">
        <w:rPr>
          <w:i/>
        </w:rPr>
        <w:t xml:space="preserve">Robert A Hansen Family Trust v </w:t>
      </w:r>
      <w:proofErr w:type="spellStart"/>
      <w:r w:rsidRPr="00D746F8">
        <w:rPr>
          <w:i/>
        </w:rPr>
        <w:t>FGH</w:t>
      </w:r>
      <w:proofErr w:type="spellEnd"/>
      <w:r w:rsidRPr="00D746F8">
        <w:rPr>
          <w:i/>
        </w:rPr>
        <w:t xml:space="preserve"> Indus, LLC</w:t>
      </w:r>
      <w:r w:rsidRPr="00EB6AA6">
        <w:t>,</w:t>
      </w:r>
      <w:r w:rsidRPr="00D746F8">
        <w:rPr>
          <w:i/>
        </w:rPr>
        <w:t xml:space="preserve"> </w:t>
      </w:r>
      <w:r w:rsidRPr="00E9640C">
        <w:t>279 Mich App 468, 474-475; 760 NW2d 526 (2006).</w:t>
      </w:r>
      <w:proofErr w:type="gramEnd"/>
    </w:p>
    <w:p w:rsidR="00FA0CD1" w:rsidRDefault="0002561F" w:rsidP="00E4656F">
      <w:pPr>
        <w:pStyle w:val="Standard"/>
        <w:spacing w:line="240" w:lineRule="auto"/>
      </w:pPr>
      <w:r>
        <w:tab/>
        <w:t xml:space="preserve">When we interpret a statute, the primary goal must be to ascertain and give effect to the Legislature’s intent, and the judiciary should presume that the Legislature intended a statute to have the meaning that it clearly expresses.  </w:t>
      </w:r>
      <w:proofErr w:type="gramStart"/>
      <w:r>
        <w:rPr>
          <w:i/>
        </w:rPr>
        <w:t xml:space="preserve">Michigan Ed </w:t>
      </w:r>
      <w:proofErr w:type="spellStart"/>
      <w:r>
        <w:rPr>
          <w:i/>
        </w:rPr>
        <w:t>Ass’n</w:t>
      </w:r>
      <w:proofErr w:type="spellEnd"/>
      <w:r>
        <w:rPr>
          <w:i/>
        </w:rPr>
        <w:t xml:space="preserve"> v </w:t>
      </w:r>
      <w:proofErr w:type="spellStart"/>
      <w:r>
        <w:rPr>
          <w:i/>
        </w:rPr>
        <w:t>Sec’y</w:t>
      </w:r>
      <w:proofErr w:type="spellEnd"/>
      <w:r>
        <w:rPr>
          <w:i/>
        </w:rPr>
        <w:t xml:space="preserve"> of State (On Rehearing)</w:t>
      </w:r>
      <w:r>
        <w:t>, 489 Mich 194, 217-218; 801 NW2d 35 (2011).</w:t>
      </w:r>
      <w:proofErr w:type="gramEnd"/>
      <w:r>
        <w:t xml:space="preserve">  This Court </w:t>
      </w:r>
      <w:r w:rsidRPr="00FF7C06">
        <w:t>determine</w:t>
      </w:r>
      <w:r>
        <w:t>s</w:t>
      </w:r>
      <w:r w:rsidRPr="00FF7C06">
        <w:t xml:space="preserve"> legislative intent by examining the language used</w:t>
      </w:r>
      <w:r>
        <w:t xml:space="preserve">.  </w:t>
      </w:r>
      <w:proofErr w:type="gramStart"/>
      <w:r w:rsidRPr="00B9109F">
        <w:rPr>
          <w:i/>
        </w:rPr>
        <w:t xml:space="preserve">Casco Twp v </w:t>
      </w:r>
      <w:proofErr w:type="spellStart"/>
      <w:r w:rsidRPr="00B9109F">
        <w:rPr>
          <w:i/>
        </w:rPr>
        <w:t>Sec</w:t>
      </w:r>
      <w:r>
        <w:rPr>
          <w:i/>
        </w:rPr>
        <w:t>’y</w:t>
      </w:r>
      <w:proofErr w:type="spellEnd"/>
      <w:r w:rsidRPr="00B9109F">
        <w:rPr>
          <w:i/>
        </w:rPr>
        <w:t xml:space="preserve"> of State</w:t>
      </w:r>
      <w:r>
        <w:t>, 472 Mich 566, 571; 701 NW2d 102 (2005).</w:t>
      </w:r>
      <w:proofErr w:type="gramEnd"/>
      <w:r>
        <w:t xml:space="preserve">  </w:t>
      </w:r>
      <w:r w:rsidR="00FA0CD1">
        <w:t xml:space="preserve">Statutory provisions are to be read in the context of the entire act, with the plain and ordinary meaning given to every word.  </w:t>
      </w:r>
      <w:proofErr w:type="gramStart"/>
      <w:r w:rsidR="00FA0CD1" w:rsidRPr="00782030">
        <w:rPr>
          <w:i/>
        </w:rPr>
        <w:t xml:space="preserve">Driver v </w:t>
      </w:r>
      <w:proofErr w:type="spellStart"/>
      <w:r w:rsidR="00FA0CD1" w:rsidRPr="00782030">
        <w:rPr>
          <w:i/>
        </w:rPr>
        <w:t>Naini</w:t>
      </w:r>
      <w:proofErr w:type="spellEnd"/>
      <w:r w:rsidR="00FA0CD1">
        <w:t>, 490 Mich 239, 247; 802 NW2d 311 (2011).</w:t>
      </w:r>
      <w:proofErr w:type="gramEnd"/>
      <w:r w:rsidR="00FA0CD1">
        <w:t xml:space="preserve">  J</w:t>
      </w:r>
      <w:r w:rsidR="00FA0CD1" w:rsidRPr="00782030">
        <w:t xml:space="preserve">udicial construction is not permitted </w:t>
      </w:r>
      <w:r w:rsidR="00FA0CD1">
        <w:t>w</w:t>
      </w:r>
      <w:r w:rsidR="00FA0CD1" w:rsidRPr="00782030">
        <w:t>hen the language is clear and unambiguous</w:t>
      </w:r>
      <w:r w:rsidR="00FA0CD1">
        <w:t xml:space="preserve">.  </w:t>
      </w:r>
      <w:r w:rsidR="00FA0CD1">
        <w:rPr>
          <w:i/>
        </w:rPr>
        <w:t>Id.</w:t>
      </w:r>
      <w:r w:rsidR="00FA0CD1" w:rsidRPr="00782030">
        <w:t xml:space="preserve"> </w:t>
      </w:r>
      <w:r w:rsidR="00FA0CD1">
        <w:t xml:space="preserve"> Courts </w:t>
      </w:r>
      <w:r w:rsidR="00FA0CD1" w:rsidRPr="00782030">
        <w:t xml:space="preserve">apply </w:t>
      </w:r>
      <w:r w:rsidR="00FA0CD1">
        <w:t xml:space="preserve">unambiguous </w:t>
      </w:r>
      <w:r w:rsidR="00FA0CD1" w:rsidRPr="00782030">
        <w:t>statute</w:t>
      </w:r>
      <w:r w:rsidR="00FA0CD1">
        <w:t xml:space="preserve">s as written.  </w:t>
      </w:r>
      <w:r w:rsidR="00FA0CD1" w:rsidRPr="00782030">
        <w:rPr>
          <w:i/>
        </w:rPr>
        <w:t>Id</w:t>
      </w:r>
      <w:r w:rsidR="00FA0CD1">
        <w:t>.</w:t>
      </w:r>
    </w:p>
    <w:p w:rsidR="001F4F1F" w:rsidRDefault="0033484B" w:rsidP="00E4656F">
      <w:pPr>
        <w:pStyle w:val="Standard"/>
        <w:spacing w:line="240" w:lineRule="auto"/>
        <w:jc w:val="center"/>
      </w:pPr>
      <w:r>
        <w:lastRenderedPageBreak/>
        <w:t>C</w:t>
      </w:r>
    </w:p>
    <w:p w:rsidR="00990FE5" w:rsidRDefault="00990FE5" w:rsidP="00E4656F">
      <w:pPr>
        <w:pStyle w:val="Standard"/>
        <w:tabs>
          <w:tab w:val="left" w:pos="720"/>
        </w:tabs>
        <w:spacing w:line="240" w:lineRule="auto"/>
      </w:pPr>
      <w:r>
        <w:tab/>
      </w:r>
      <w:proofErr w:type="spellStart"/>
      <w:r>
        <w:t>CFR</w:t>
      </w:r>
      <w:proofErr w:type="spellEnd"/>
      <w:r w:rsidR="00240E3D">
        <w:t xml:space="preserve"> makes</w:t>
      </w:r>
      <w:r>
        <w:t xml:space="preserve"> various challenges to the adequacy of plain</w:t>
      </w:r>
      <w:r w:rsidR="0033484B">
        <w:t>ti</w:t>
      </w:r>
      <w:r>
        <w:t xml:space="preserve">ff’s submitted </w:t>
      </w:r>
      <w:r w:rsidR="00862017">
        <w:t>referen</w:t>
      </w:r>
      <w:r>
        <w:t xml:space="preserve">dum petition.  </w:t>
      </w:r>
      <w:r w:rsidR="00862017">
        <w:t xml:space="preserve">Plaintiff argues that </w:t>
      </w:r>
      <w:r w:rsidR="00BA597A">
        <w:t xml:space="preserve">at least some of </w:t>
      </w:r>
      <w:r w:rsidR="00862017">
        <w:t xml:space="preserve">these challenges concern the merits of the referendum petition, which the Board had no jurisdiction to consider, </w:t>
      </w:r>
      <w:r w:rsidR="00BA597A">
        <w:t>and that accordingly, this Court should also decline to review the challenges</w:t>
      </w:r>
      <w:r w:rsidR="00862017">
        <w:t xml:space="preserve">.  </w:t>
      </w:r>
      <w:r>
        <w:t>This Court reviews de novo m</w:t>
      </w:r>
      <w:r w:rsidRPr="00474810">
        <w:t xml:space="preserve">atters </w:t>
      </w:r>
      <w:r w:rsidR="00BA597A">
        <w:t xml:space="preserve">concerning the threshold question of </w:t>
      </w:r>
      <w:proofErr w:type="spellStart"/>
      <w:r w:rsidRPr="00474810">
        <w:t>justiciability</w:t>
      </w:r>
      <w:proofErr w:type="spellEnd"/>
      <w:r w:rsidRPr="00474810">
        <w:t xml:space="preserve">, </w:t>
      </w:r>
      <w:r>
        <w:t>including whether a matter is ripe for review</w:t>
      </w:r>
      <w:r w:rsidRPr="00474810">
        <w:t>.</w:t>
      </w:r>
      <w:r>
        <w:t xml:space="preserve"> </w:t>
      </w:r>
      <w:r w:rsidRPr="00474810">
        <w:t xml:space="preserve"> </w:t>
      </w:r>
      <w:r w:rsidRPr="00474810">
        <w:rPr>
          <w:i/>
        </w:rPr>
        <w:t>Mich Chiropractic Council v</w:t>
      </w:r>
      <w:r>
        <w:rPr>
          <w:i/>
        </w:rPr>
        <w:t xml:space="preserve"> </w:t>
      </w:r>
      <w:proofErr w:type="spellStart"/>
      <w:r>
        <w:rPr>
          <w:i/>
        </w:rPr>
        <w:t>Comm’</w:t>
      </w:r>
      <w:r w:rsidRPr="00474810">
        <w:rPr>
          <w:i/>
        </w:rPr>
        <w:t>r</w:t>
      </w:r>
      <w:proofErr w:type="spellEnd"/>
      <w:r w:rsidRPr="00474810">
        <w:rPr>
          <w:i/>
        </w:rPr>
        <w:t xml:space="preserve"> of the Office of Fin</w:t>
      </w:r>
      <w:r>
        <w:rPr>
          <w:i/>
        </w:rPr>
        <w:t xml:space="preserve"> &amp; Ins </w:t>
      </w:r>
      <w:proofErr w:type="spellStart"/>
      <w:r>
        <w:rPr>
          <w:i/>
        </w:rPr>
        <w:t>Serv</w:t>
      </w:r>
      <w:r w:rsidRPr="00474810">
        <w:rPr>
          <w:i/>
        </w:rPr>
        <w:t>s</w:t>
      </w:r>
      <w:proofErr w:type="spellEnd"/>
      <w:r w:rsidRPr="00474810">
        <w:t xml:space="preserve">, 475 Mich 363, 369; 716 NW2d 561 (2006), overruled on other grounds in </w:t>
      </w:r>
      <w:r w:rsidRPr="00474810">
        <w:rPr>
          <w:i/>
        </w:rPr>
        <w:t xml:space="preserve">Lansing Schools Ed </w:t>
      </w:r>
      <w:proofErr w:type="spellStart"/>
      <w:r w:rsidRPr="00474810">
        <w:rPr>
          <w:i/>
        </w:rPr>
        <w:t>Ass</w:t>
      </w:r>
      <w:r>
        <w:rPr>
          <w:i/>
        </w:rPr>
        <w:t>’</w:t>
      </w:r>
      <w:r w:rsidRPr="00474810">
        <w:rPr>
          <w:i/>
        </w:rPr>
        <w:t>n</w:t>
      </w:r>
      <w:proofErr w:type="spellEnd"/>
      <w:r w:rsidRPr="00474810">
        <w:rPr>
          <w:i/>
        </w:rPr>
        <w:t xml:space="preserve"> v Lansing </w:t>
      </w:r>
      <w:proofErr w:type="spellStart"/>
      <w:r w:rsidRPr="00474810">
        <w:rPr>
          <w:i/>
        </w:rPr>
        <w:t>Bd</w:t>
      </w:r>
      <w:proofErr w:type="spellEnd"/>
      <w:r w:rsidRPr="00474810">
        <w:rPr>
          <w:i/>
        </w:rPr>
        <w:t xml:space="preserve"> of Ed</w:t>
      </w:r>
      <w:r w:rsidRPr="00A94C67">
        <w:t>,</w:t>
      </w:r>
      <w:r w:rsidRPr="00474810">
        <w:t xml:space="preserve"> 487 Mich 349, 371; 792 NW2d 686 (2010).</w:t>
      </w:r>
    </w:p>
    <w:p w:rsidR="00990FE5" w:rsidRDefault="00990FE5" w:rsidP="00E4656F">
      <w:pPr>
        <w:pStyle w:val="Standard"/>
        <w:spacing w:line="240" w:lineRule="auto"/>
      </w:pPr>
      <w:r>
        <w:tab/>
        <w:t xml:space="preserve">While challenges regarding the </w:t>
      </w:r>
      <w:r w:rsidRPr="00A94C67">
        <w:rPr>
          <w:i/>
        </w:rPr>
        <w:t>substance</w:t>
      </w:r>
      <w:r>
        <w:t xml:space="preserve"> of petitions have historically been viewed as premature if brought before the initiative legislation comes into effect, see </w:t>
      </w:r>
      <w:r>
        <w:rPr>
          <w:i/>
        </w:rPr>
        <w:t xml:space="preserve">Hamilton v </w:t>
      </w:r>
      <w:proofErr w:type="spellStart"/>
      <w:r>
        <w:rPr>
          <w:i/>
        </w:rPr>
        <w:t>Sec’y</w:t>
      </w:r>
      <w:proofErr w:type="spellEnd"/>
      <w:r>
        <w:rPr>
          <w:i/>
        </w:rPr>
        <w:t xml:space="preserve"> of </w:t>
      </w:r>
      <w:r w:rsidRPr="00EA7D8C">
        <w:rPr>
          <w:i/>
        </w:rPr>
        <w:t>State</w:t>
      </w:r>
      <w:r>
        <w:t xml:space="preserve">, 212 Mich 31; 179 NW 553 (1920), </w:t>
      </w:r>
      <w:r w:rsidRPr="00A94C67">
        <w:t>such</w:t>
      </w:r>
      <w:r>
        <w:t xml:space="preserve"> is not the case for challenges regarding the legality or sufficiency of the </w:t>
      </w:r>
      <w:r w:rsidRPr="00990FE5">
        <w:rPr>
          <w:i/>
        </w:rPr>
        <w:t>form of the petitions</w:t>
      </w:r>
      <w:r w:rsidRPr="00A94C67">
        <w:rPr>
          <w:i/>
        </w:rPr>
        <w:t xml:space="preserve"> </w:t>
      </w:r>
      <w:r w:rsidRPr="00990FE5">
        <w:t>themselves</w:t>
      </w:r>
      <w:r>
        <w:t xml:space="preserve">, </w:t>
      </w:r>
      <w:proofErr w:type="spellStart"/>
      <w:r>
        <w:rPr>
          <w:i/>
        </w:rPr>
        <w:t>Leininger</w:t>
      </w:r>
      <w:proofErr w:type="spellEnd"/>
      <w:r>
        <w:rPr>
          <w:i/>
        </w:rPr>
        <w:t xml:space="preserve"> v </w:t>
      </w:r>
      <w:proofErr w:type="spellStart"/>
      <w:r>
        <w:rPr>
          <w:i/>
        </w:rPr>
        <w:t>Sec’y</w:t>
      </w:r>
      <w:proofErr w:type="spellEnd"/>
      <w:r>
        <w:rPr>
          <w:i/>
        </w:rPr>
        <w:t xml:space="preserve"> of State</w:t>
      </w:r>
      <w:r>
        <w:t xml:space="preserve">, 316 Mich 644; 26 NW2d 348 (1947).  In other words, any substantive constitutional challenges regarding the validity of a ballot proposal are premature when made before the voters adopt the proposition in question.  </w:t>
      </w:r>
      <w:r>
        <w:rPr>
          <w:i/>
        </w:rPr>
        <w:t>Citizens Protecting Michigan’s Constitution</w:t>
      </w:r>
      <w:r>
        <w:t xml:space="preserve">, 280 Mich App </w:t>
      </w:r>
      <w:r w:rsidR="00CE221C">
        <w:t>at</w:t>
      </w:r>
      <w:r>
        <w:t xml:space="preserve"> 288.  But challenges regarding whether a petition meets the necessary constitutional or statutory requirements </w:t>
      </w:r>
      <w:r w:rsidR="002C7C4B">
        <w:t xml:space="preserve">are </w:t>
      </w:r>
      <w:r>
        <w:t xml:space="preserve">properly brought before the Board certifies any petition as valid.  </w:t>
      </w:r>
      <w:r>
        <w:rPr>
          <w:i/>
        </w:rPr>
        <w:t>Id.</w:t>
      </w:r>
      <w:r>
        <w:t xml:space="preserve"> at 288-289.  Our Supreme Court has stated that in a referendum context, as we have here, a controversy is ripe for review when its resolution “is not dependent upon the Board of Canvassers’ counting or consideration of the petitions but rather involves a threshold determination whether the petitions” meet the </w:t>
      </w:r>
      <w:r w:rsidR="002C7C4B">
        <w:t xml:space="preserve">prerequisites </w:t>
      </w:r>
      <w:r>
        <w:t xml:space="preserve">for acceptance.  </w:t>
      </w:r>
      <w:proofErr w:type="gramStart"/>
      <w:r>
        <w:rPr>
          <w:i/>
        </w:rPr>
        <w:t xml:space="preserve">Mich United Conservation Clubs v </w:t>
      </w:r>
      <w:proofErr w:type="spellStart"/>
      <w:r>
        <w:rPr>
          <w:i/>
        </w:rPr>
        <w:t>Sec’y</w:t>
      </w:r>
      <w:proofErr w:type="spellEnd"/>
      <w:r>
        <w:rPr>
          <w:i/>
        </w:rPr>
        <w:t xml:space="preserve"> of State</w:t>
      </w:r>
      <w:r w:rsidRPr="00EA7D8C">
        <w:t xml:space="preserve">, 463 Mich 1009, </w:t>
      </w:r>
      <w:r>
        <w:t>1009</w:t>
      </w:r>
      <w:r w:rsidRPr="00EA7D8C">
        <w:t xml:space="preserve">; </w:t>
      </w:r>
      <w:r>
        <w:t>625</w:t>
      </w:r>
      <w:r w:rsidRPr="00EA7D8C">
        <w:t xml:space="preserve"> NW2d </w:t>
      </w:r>
      <w:r>
        <w:t>377</w:t>
      </w:r>
      <w:r w:rsidRPr="00EA7D8C">
        <w:t xml:space="preserve"> (2001)</w:t>
      </w:r>
      <w:r w:rsidRPr="003B131E">
        <w:t>.</w:t>
      </w:r>
      <w:proofErr w:type="gramEnd"/>
      <w:r w:rsidRPr="003B131E">
        <w:t xml:space="preserve"> </w:t>
      </w:r>
      <w:r>
        <w:t xml:space="preserve"> </w:t>
      </w:r>
      <w:proofErr w:type="spellStart"/>
      <w:r>
        <w:t>CFR’s</w:t>
      </w:r>
      <w:proofErr w:type="spellEnd"/>
      <w:r>
        <w:t xml:space="preserve"> challenges probe this “threshold determination” because they contend that the petitions failed to comply with the form required by law.  As a result, all of </w:t>
      </w:r>
      <w:proofErr w:type="spellStart"/>
      <w:r>
        <w:t>CFR’s</w:t>
      </w:r>
      <w:proofErr w:type="spellEnd"/>
      <w:r>
        <w:t xml:space="preserve"> challenges are ripe for review.</w:t>
      </w:r>
    </w:p>
    <w:p w:rsidR="00E53014" w:rsidRDefault="00E53014" w:rsidP="00E4656F">
      <w:pPr>
        <w:pStyle w:val="Standard"/>
        <w:tabs>
          <w:tab w:val="left" w:pos="720"/>
        </w:tabs>
        <w:spacing w:line="240" w:lineRule="auto"/>
        <w:jc w:val="center"/>
      </w:pPr>
      <w:r>
        <w:t>I</w:t>
      </w:r>
      <w:r w:rsidR="00EF491E">
        <w:t>II</w:t>
      </w:r>
    </w:p>
    <w:p w:rsidR="00815F44" w:rsidRDefault="00815F44" w:rsidP="00E4656F">
      <w:pPr>
        <w:pStyle w:val="Standard"/>
        <w:spacing w:line="240" w:lineRule="auto"/>
      </w:pPr>
      <w:r>
        <w:tab/>
        <w:t xml:space="preserve">A plaintiff has the burden of establishing entitlement to the extraordinary remedy of a writ of mandamus.  </w:t>
      </w:r>
      <w:proofErr w:type="gramStart"/>
      <w:r w:rsidRPr="00A25CBF">
        <w:rPr>
          <w:i/>
        </w:rPr>
        <w:t xml:space="preserve">Lansing </w:t>
      </w:r>
      <w:proofErr w:type="spellStart"/>
      <w:r w:rsidRPr="00A25CBF">
        <w:rPr>
          <w:i/>
        </w:rPr>
        <w:t>Sch</w:t>
      </w:r>
      <w:proofErr w:type="spellEnd"/>
      <w:r w:rsidRPr="00A25CBF">
        <w:rPr>
          <w:i/>
        </w:rPr>
        <w:t xml:space="preserve"> Ed </w:t>
      </w:r>
      <w:proofErr w:type="spellStart"/>
      <w:r w:rsidRPr="00A25CBF">
        <w:rPr>
          <w:i/>
        </w:rPr>
        <w:t>Ass</w:t>
      </w:r>
      <w:r>
        <w:rPr>
          <w:i/>
        </w:rPr>
        <w:t>’</w:t>
      </w:r>
      <w:r w:rsidRPr="00A25CBF">
        <w:rPr>
          <w:i/>
        </w:rPr>
        <w:t>n</w:t>
      </w:r>
      <w:proofErr w:type="spellEnd"/>
      <w:r w:rsidRPr="00A25CBF">
        <w:rPr>
          <w:i/>
        </w:rPr>
        <w:t xml:space="preserve"> v Lansing </w:t>
      </w:r>
      <w:proofErr w:type="spellStart"/>
      <w:r w:rsidRPr="00A25CBF">
        <w:rPr>
          <w:i/>
        </w:rPr>
        <w:t>Bd</w:t>
      </w:r>
      <w:proofErr w:type="spellEnd"/>
      <w:r w:rsidRPr="00A25CBF">
        <w:rPr>
          <w:i/>
        </w:rPr>
        <w:t xml:space="preserve"> of Ed (On Remand)</w:t>
      </w:r>
      <w:r w:rsidRPr="00A25CBF">
        <w:t>, 293 Mich App 506, 519; 810 NW2d 95</w:t>
      </w:r>
      <w:r>
        <w:t xml:space="preserve"> </w:t>
      </w:r>
      <w:r w:rsidRPr="00A25CBF">
        <w:t>(2011)</w:t>
      </w:r>
      <w:r>
        <w:t>.</w:t>
      </w:r>
      <w:proofErr w:type="gramEnd"/>
      <w:r>
        <w:t xml:space="preserve">  The plaintiff must show that “(1) the plaintiff has a clear legal right to the performance of the duty sought to be compelled, (2) the defendant has a clear legal duty to perform, (3) the act is ministerial in nature, and (4) the plaintiff has no other adequate legal or equitable remedy.”  </w:t>
      </w:r>
      <w:proofErr w:type="gramStart"/>
      <w:r>
        <w:rPr>
          <w:i/>
        </w:rPr>
        <w:t>White-</w:t>
      </w:r>
      <w:proofErr w:type="spellStart"/>
      <w:r>
        <w:rPr>
          <w:i/>
        </w:rPr>
        <w:t>Bey</w:t>
      </w:r>
      <w:proofErr w:type="spellEnd"/>
      <w:r>
        <w:rPr>
          <w:i/>
        </w:rPr>
        <w:t xml:space="preserve"> v Dep’t of Corrections</w:t>
      </w:r>
      <w:r>
        <w:t>, 239 Mich App 221, 223-224; 608 NW2d 833 (1999).</w:t>
      </w:r>
      <w:proofErr w:type="gramEnd"/>
    </w:p>
    <w:p w:rsidR="000514AF" w:rsidRDefault="000514AF" w:rsidP="00E4656F">
      <w:pPr>
        <w:pStyle w:val="Standard"/>
        <w:spacing w:line="240" w:lineRule="auto"/>
      </w:pPr>
      <w:r>
        <w:tab/>
        <w:t xml:space="preserve">The parties do not dispute that if </w:t>
      </w:r>
      <w:proofErr w:type="spellStart"/>
      <w:r>
        <w:t>CFR’s</w:t>
      </w:r>
      <w:proofErr w:type="spellEnd"/>
      <w:r>
        <w:t xml:space="preserve"> challenges to plaintiff’s petition are rejected, plaintiff’s entitlement to a writ of mandamus will have been established.  If we determine that the petitions qualify for certification, plaintiff would have a clear legal right to have the Board certify the petition, the Board would have a clear legal duty to do, the act would be ministerial because it would not require the exercise of judgment or discretion, and plaintiff would have no other legal or equitable remedy.  See </w:t>
      </w:r>
      <w:r>
        <w:rPr>
          <w:i/>
        </w:rPr>
        <w:t>Citizens Protecting Michigan’s Constitution</w:t>
      </w:r>
      <w:r>
        <w:t>, 280 Mich App at 291-292.  Hence, we focus our attention solely on whether the petition meets the requirements for certification.</w:t>
      </w:r>
    </w:p>
    <w:p w:rsidR="00240E3D" w:rsidRDefault="00240E3D" w:rsidP="00E4656F">
      <w:pPr>
        <w:pStyle w:val="Standard"/>
        <w:tabs>
          <w:tab w:val="left" w:pos="720"/>
        </w:tabs>
        <w:spacing w:line="240" w:lineRule="auto"/>
        <w:jc w:val="center"/>
      </w:pPr>
      <w:r>
        <w:lastRenderedPageBreak/>
        <w:t>IV</w:t>
      </w:r>
    </w:p>
    <w:p w:rsidR="00664585" w:rsidRDefault="00E53014" w:rsidP="00E4656F">
      <w:pPr>
        <w:pStyle w:val="Standard"/>
        <w:tabs>
          <w:tab w:val="left" w:pos="720"/>
        </w:tabs>
        <w:spacing w:line="240" w:lineRule="auto"/>
        <w:jc w:val="center"/>
      </w:pPr>
      <w:r>
        <w:t>A</w:t>
      </w:r>
    </w:p>
    <w:p w:rsidR="001B3601" w:rsidRDefault="001B3601" w:rsidP="00E4656F">
      <w:pPr>
        <w:pStyle w:val="Standard"/>
        <w:tabs>
          <w:tab w:val="left" w:pos="720"/>
        </w:tabs>
        <w:spacing w:line="240" w:lineRule="auto"/>
        <w:jc w:val="center"/>
      </w:pPr>
      <w:r>
        <w:t>1</w:t>
      </w:r>
    </w:p>
    <w:p w:rsidR="00D2166E" w:rsidRDefault="00664585" w:rsidP="00E4656F">
      <w:pPr>
        <w:pStyle w:val="Standard"/>
        <w:tabs>
          <w:tab w:val="left" w:pos="720"/>
        </w:tabs>
        <w:spacing w:line="240" w:lineRule="auto"/>
      </w:pPr>
      <w:r>
        <w:tab/>
      </w:r>
      <w:proofErr w:type="spellStart"/>
      <w:r>
        <w:t>CFR</w:t>
      </w:r>
      <w:proofErr w:type="spellEnd"/>
      <w:r w:rsidR="00240E3D">
        <w:t>, the Attorney General</w:t>
      </w:r>
      <w:r w:rsidR="002C7C4B">
        <w:t>,</w:t>
      </w:r>
      <w:r w:rsidR="00240E3D">
        <w:t xml:space="preserve"> and the Governor</w:t>
      </w:r>
      <w:r>
        <w:t xml:space="preserve"> argue that the </w:t>
      </w:r>
      <w:r w:rsidR="00240E3D">
        <w:t xml:space="preserve">plaintiff does not have a clear legal right to performance of any duty by the Board on the basis that the referendum </w:t>
      </w:r>
      <w:r>
        <w:t>petition heading does not meet the statutory requirements</w:t>
      </w:r>
      <w:r w:rsidR="00240E3D">
        <w:t>, and therefore, the petition is defective</w:t>
      </w:r>
      <w:r>
        <w:t xml:space="preserve">.  </w:t>
      </w:r>
      <w:r w:rsidR="00D2166E">
        <w:t xml:space="preserve">We agree that the petition heading does not </w:t>
      </w:r>
      <w:r w:rsidR="001F4F1F">
        <w:t>comply with</w:t>
      </w:r>
      <w:r w:rsidR="00D2166E">
        <w:t xml:space="preserve"> the </w:t>
      </w:r>
      <w:r w:rsidR="001F4F1F">
        <w:t>format</w:t>
      </w:r>
      <w:r w:rsidR="00D2166E">
        <w:t xml:space="preserve"> prescribed by the Secretary or </w:t>
      </w:r>
      <w:r w:rsidR="001F4F1F">
        <w:t>the format required by MCL 168.482(2)</w:t>
      </w:r>
      <w:r w:rsidR="002C7C4B">
        <w:t xml:space="preserve">, but as discussed, </w:t>
      </w:r>
      <w:r w:rsidR="002C7C4B" w:rsidRPr="002C7C4B">
        <w:rPr>
          <w:i/>
        </w:rPr>
        <w:t>infra</w:t>
      </w:r>
      <w:r w:rsidR="002C7C4B">
        <w:t xml:space="preserve">, </w:t>
      </w:r>
      <w:r w:rsidR="001B3601">
        <w:t xml:space="preserve">under </w:t>
      </w:r>
      <w:r w:rsidR="001B3601" w:rsidRPr="001B3601">
        <w:rPr>
          <w:i/>
        </w:rPr>
        <w:t>Bloomfield</w:t>
      </w:r>
      <w:r w:rsidR="001B3601">
        <w:t xml:space="preserve">, </w:t>
      </w:r>
      <w:r w:rsidR="002C7C4B">
        <w:t xml:space="preserve">this </w:t>
      </w:r>
      <w:r w:rsidR="001B3601">
        <w:t>finding</w:t>
      </w:r>
      <w:r w:rsidR="002C7C4B">
        <w:t xml:space="preserve"> is not dispositive in the instant case</w:t>
      </w:r>
      <w:r w:rsidR="00D2166E">
        <w:t>.</w:t>
      </w:r>
    </w:p>
    <w:p w:rsidR="00D2166E" w:rsidRDefault="00D2166E" w:rsidP="00E4656F">
      <w:pPr>
        <w:pStyle w:val="Standard"/>
        <w:spacing w:line="240" w:lineRule="auto"/>
      </w:pPr>
      <w:r>
        <w:tab/>
        <w:t xml:space="preserve">As we noted earlier, </w:t>
      </w:r>
      <w:r w:rsidR="00EF491E">
        <w:t>MCL 168.544d provides in part that “[p]</w:t>
      </w:r>
      <w:proofErr w:type="spellStart"/>
      <w:r w:rsidR="00EF491E">
        <w:t>etitions</w:t>
      </w:r>
      <w:proofErr w:type="spellEnd"/>
      <w:r w:rsidR="00EF491E">
        <w:t xml:space="preserve"> circulated countywide shall be on a form prescribed by the secretary of state, which form shall be substantially as provided in section 482.”  Here, </w:t>
      </w:r>
      <w:r>
        <w:t xml:space="preserve">both the Secretary’s January </w:t>
      </w:r>
      <w:r w:rsidR="001F4F1F">
        <w:t xml:space="preserve">2011 </w:t>
      </w:r>
      <w:r>
        <w:t xml:space="preserve">memorandum and MCL 168.482(2) require that </w:t>
      </w:r>
      <w:r w:rsidR="00FB4323">
        <w:t>the heading be in all capital letters and that it “</w:t>
      </w:r>
      <w:r w:rsidRPr="00F001E3">
        <w:rPr>
          <w:i/>
        </w:rPr>
        <w:t>shall</w:t>
      </w:r>
      <w:r w:rsidRPr="000367E2">
        <w:t xml:space="preserve"> </w:t>
      </w:r>
      <w:r>
        <w:t xml:space="preserve">be </w:t>
      </w:r>
      <w:r w:rsidRPr="000367E2">
        <w:t xml:space="preserve">prepared in </w:t>
      </w:r>
      <w:r w:rsidRPr="00C40765">
        <w:rPr>
          <w:i/>
        </w:rPr>
        <w:t>14-point boldfaced type</w:t>
      </w:r>
      <w:r>
        <w:t xml:space="preserve">.”  (Emphasis added.)  </w:t>
      </w:r>
      <w:r w:rsidR="009366BF" w:rsidRPr="00C24CFD">
        <w:t xml:space="preserve">The term “shall” denotes mandatory conduct.  </w:t>
      </w:r>
      <w:proofErr w:type="gramStart"/>
      <w:r w:rsidR="009366BF" w:rsidRPr="00C24CFD">
        <w:rPr>
          <w:i/>
        </w:rPr>
        <w:t>Manual v Gill</w:t>
      </w:r>
      <w:r w:rsidR="009366BF" w:rsidRPr="00C24CFD">
        <w:t>, 481 Mich 637, 647; 753 NW2d 48 (2008).</w:t>
      </w:r>
      <w:proofErr w:type="gramEnd"/>
      <w:r w:rsidR="009366BF">
        <w:t xml:space="preserve">  </w:t>
      </w:r>
      <w:r w:rsidR="007174B5">
        <w:t xml:space="preserve">Importantly, neither the Secretary nor the statute use the term “font.”  </w:t>
      </w:r>
      <w:r w:rsidR="00FB4323">
        <w:t xml:space="preserve">“Font” is defined as “a complete assortment of type of one style and size.”  </w:t>
      </w:r>
      <w:r w:rsidR="00FB4323">
        <w:rPr>
          <w:i/>
        </w:rPr>
        <w:t>Random House</w:t>
      </w:r>
      <w:r w:rsidR="005C431D">
        <w:rPr>
          <w:i/>
        </w:rPr>
        <w:t xml:space="preserve"> Webster’s</w:t>
      </w:r>
      <w:r w:rsidR="00FB4323">
        <w:rPr>
          <w:i/>
        </w:rPr>
        <w:t xml:space="preserve"> College </w:t>
      </w:r>
      <w:r w:rsidR="00FB4323" w:rsidRPr="007174B5">
        <w:rPr>
          <w:i/>
        </w:rPr>
        <w:t>Dictionary</w:t>
      </w:r>
      <w:r w:rsidR="00FB4323">
        <w:t xml:space="preserve"> (1997).  “Font” incorporates all of the characteristics of a particular type, including </w:t>
      </w:r>
      <w:r w:rsidR="005C431D">
        <w:t>the font family,</w:t>
      </w:r>
      <w:r w:rsidR="005C431D">
        <w:rPr>
          <w:rStyle w:val="FootnoteReference"/>
        </w:rPr>
        <w:footnoteReference w:id="10"/>
      </w:r>
      <w:r w:rsidR="005C431D">
        <w:t xml:space="preserve"> </w:t>
      </w:r>
      <w:r w:rsidR="00FB4323">
        <w:t xml:space="preserve">its size, </w:t>
      </w:r>
      <w:r w:rsidR="005C431D">
        <w:t xml:space="preserve">and </w:t>
      </w:r>
      <w:r w:rsidR="00FB4323">
        <w:t xml:space="preserve">its style.  For example, </w:t>
      </w:r>
      <w:r w:rsidR="005C431D">
        <w:t xml:space="preserve">while they share the same font family, </w:t>
      </w:r>
      <w:r w:rsidR="00FB4323">
        <w:t>12-point boldfaced Arial is one particular font, while 12-point italicized Arial is a different font.  The statute specifies that</w:t>
      </w:r>
      <w:r w:rsidR="00F23614">
        <w:t xml:space="preserve"> the heading must </w:t>
      </w:r>
      <w:r w:rsidR="00FB4323">
        <w:t xml:space="preserve">be in capital letters and </w:t>
      </w:r>
      <w:r w:rsidR="00F23614">
        <w:t>have</w:t>
      </w:r>
      <w:r w:rsidR="00D71561">
        <w:t xml:space="preserve"> (1) a particular size (14 point) and (2) a particular style (boldfaced)</w:t>
      </w:r>
      <w:r w:rsidR="00F23614">
        <w:t xml:space="preserve">.  </w:t>
      </w:r>
      <w:r w:rsidRPr="007174B5">
        <w:t>Because</w:t>
      </w:r>
      <w:r>
        <w:t xml:space="preserve"> the heading was properly in bold and in capital letters, the only dispute is whether the heading was </w:t>
      </w:r>
      <w:r w:rsidR="00D71561">
        <w:t>sized appropriately as</w:t>
      </w:r>
      <w:r>
        <w:t xml:space="preserve"> 14-point type.  The affidavits submitted by plaintiff and </w:t>
      </w:r>
      <w:proofErr w:type="spellStart"/>
      <w:r>
        <w:t>CFR</w:t>
      </w:r>
      <w:proofErr w:type="spellEnd"/>
      <w:r>
        <w:t xml:space="preserve"> conflict regarding the </w:t>
      </w:r>
      <w:r w:rsidR="001F4F1F">
        <w:t>type</w:t>
      </w:r>
      <w:r>
        <w:t xml:space="preserve"> size </w:t>
      </w:r>
      <w:r w:rsidR="00AD441D">
        <w:t xml:space="preserve">of the heading </w:t>
      </w:r>
      <w:r>
        <w:t>and, therefore</w:t>
      </w:r>
      <w:r w:rsidR="006629D3">
        <w:t>,</w:t>
      </w:r>
      <w:r>
        <w:t xml:space="preserve"> do not resolve the dispute.</w:t>
      </w:r>
    </w:p>
    <w:p w:rsidR="00D2166E" w:rsidRDefault="00D2166E" w:rsidP="00E4656F">
      <w:pPr>
        <w:pStyle w:val="Standard"/>
        <w:spacing w:line="240" w:lineRule="auto"/>
      </w:pPr>
      <w:r>
        <w:tab/>
      </w:r>
      <w:r w:rsidR="00FB4323">
        <w:t xml:space="preserve">The term “14-point” </w:t>
      </w:r>
      <w:r w:rsidR="007E2E4A">
        <w:t xml:space="preserve">also </w:t>
      </w:r>
      <w:r w:rsidR="00FB4323">
        <w:t xml:space="preserve">is not defined by </w:t>
      </w:r>
      <w:r>
        <w:t>the Secretary’s memorand</w:t>
      </w:r>
      <w:r w:rsidR="00152010">
        <w:t>a</w:t>
      </w:r>
      <w:r>
        <w:t xml:space="preserve"> or </w:t>
      </w:r>
      <w:r w:rsidR="00FB4323">
        <w:t xml:space="preserve">by </w:t>
      </w:r>
      <w:r>
        <w:t>statute</w:t>
      </w:r>
      <w:r w:rsidR="00FB4323">
        <w:t>.</w:t>
      </w:r>
      <w:r w:rsidR="005C431D">
        <w:t xml:space="preserve">  </w:t>
      </w:r>
      <w:r>
        <w:t xml:space="preserve">When construing statutes, technical words that have acquired a peculiar and appropriate meaning must be construed according to that particular meaning.  </w:t>
      </w:r>
      <w:r>
        <w:rPr>
          <w:i/>
        </w:rPr>
        <w:t xml:space="preserve">Ford Motor Co v </w:t>
      </w:r>
      <w:r w:rsidRPr="009F704F">
        <w:rPr>
          <w:i/>
        </w:rPr>
        <w:t>Woodhaven</w:t>
      </w:r>
      <w:r>
        <w:t xml:space="preserve">, 475 Mich 425, 439; 716 NW2d 247 (2006), citing MCL 8.3a.  </w:t>
      </w:r>
      <w:r w:rsidRPr="009F704F">
        <w:t>Because</w:t>
      </w:r>
      <w:r>
        <w:t xml:space="preserve"> there is no statutory definition for </w:t>
      </w:r>
      <w:r w:rsidR="00FA0CD1">
        <w:t xml:space="preserve">the term </w:t>
      </w:r>
      <w:r>
        <w:t xml:space="preserve">“point,” it is proper to consult a dictionary for its common meaning.  </w:t>
      </w:r>
      <w:proofErr w:type="spellStart"/>
      <w:proofErr w:type="gramStart"/>
      <w:r w:rsidR="00750E6F">
        <w:rPr>
          <w:i/>
        </w:rPr>
        <w:t>Klooster</w:t>
      </w:r>
      <w:proofErr w:type="spellEnd"/>
      <w:r w:rsidR="00750E6F">
        <w:rPr>
          <w:i/>
        </w:rPr>
        <w:t xml:space="preserve"> v City of </w:t>
      </w:r>
      <w:r w:rsidR="00750E6F" w:rsidRPr="00750E6F">
        <w:rPr>
          <w:i/>
        </w:rPr>
        <w:t>Charlevoix</w:t>
      </w:r>
      <w:r w:rsidR="00750E6F">
        <w:t>, 488 Mich 289, 304; 795 NW2d 578 (2011).</w:t>
      </w:r>
      <w:proofErr w:type="gramEnd"/>
      <w:r>
        <w:t xml:space="preserve">  </w:t>
      </w:r>
      <w:r w:rsidRPr="002B4260">
        <w:t>The</w:t>
      </w:r>
      <w:r w:rsidRPr="003338DB">
        <w:t xml:space="preserve"> </w:t>
      </w:r>
      <w:r w:rsidRPr="006052F1">
        <w:rPr>
          <w:i/>
        </w:rPr>
        <w:t>Random House Webster</w:t>
      </w:r>
      <w:r>
        <w:rPr>
          <w:i/>
        </w:rPr>
        <w:t>’</w:t>
      </w:r>
      <w:r w:rsidRPr="006052F1">
        <w:rPr>
          <w:i/>
        </w:rPr>
        <w:t>s College Dictionary</w:t>
      </w:r>
      <w:r w:rsidRPr="00474AF7">
        <w:t xml:space="preserve"> (199</w:t>
      </w:r>
      <w:r>
        <w:t>7</w:t>
      </w:r>
      <w:r w:rsidRPr="00474AF7">
        <w:t>)</w:t>
      </w:r>
      <w:r>
        <w:t xml:space="preserve"> defines “point” in the printing context as “a unit of type measurement equal </w:t>
      </w:r>
      <w:proofErr w:type="gramStart"/>
      <w:r>
        <w:t>to</w:t>
      </w:r>
      <w:r w:rsidR="00747F47">
        <w:t> .</w:t>
      </w:r>
      <w:proofErr w:type="gramEnd"/>
      <w:r w:rsidR="00747F47">
        <w:t xml:space="preserve"> . . </w:t>
      </w:r>
      <w:r>
        <w:t xml:space="preserve">1/72 inch.”  </w:t>
      </w:r>
      <w:r w:rsidR="00AD441D">
        <w:t xml:space="preserve">Originally created by French typesetter Pierre Fournier in 1737, the measurement of a printer’s “point” as 1/72 of an inch is a centuries-old standard.  </w:t>
      </w:r>
      <w:proofErr w:type="spellStart"/>
      <w:r w:rsidR="00DD2F8F">
        <w:t>Saxena</w:t>
      </w:r>
      <w:proofErr w:type="spellEnd"/>
      <w:r w:rsidR="00DD2F8F">
        <w:t xml:space="preserve">, </w:t>
      </w:r>
      <w:r w:rsidR="00DD2F8F" w:rsidRPr="00DD2F8F">
        <w:rPr>
          <w:i/>
        </w:rPr>
        <w:t>Headline Writing</w:t>
      </w:r>
      <w:r w:rsidR="00DD2F8F">
        <w:t xml:space="preserve"> (New Delhi, India:  Sage Publications, 2006), p 206.</w:t>
      </w:r>
      <w:r w:rsidR="00AD441D">
        <w:t xml:space="preserve">  </w:t>
      </w:r>
      <w:r>
        <w:t xml:space="preserve">Therefore, type that is </w:t>
      </w:r>
      <w:r>
        <w:lastRenderedPageBreak/>
        <w:t>“14-point” is 14/72 of an inch, or as acknowledged by the various experts in this case, 0.194 inches.</w:t>
      </w:r>
      <w:r w:rsidR="00FD2846">
        <w:rPr>
          <w:rStyle w:val="FootnoteReference"/>
        </w:rPr>
        <w:footnoteReference w:id="11"/>
      </w:r>
    </w:p>
    <w:p w:rsidR="00D2166E" w:rsidRDefault="00D2166E" w:rsidP="00E4656F">
      <w:pPr>
        <w:pStyle w:val="Standard"/>
        <w:spacing w:line="240" w:lineRule="auto"/>
      </w:pPr>
      <w:r>
        <w:tab/>
      </w:r>
      <w:r w:rsidR="00AD441D">
        <w:t>It is clear from the record evidence that plaintiff’s</w:t>
      </w:r>
      <w:r w:rsidR="00AD441D" w:rsidRPr="00FE19FF">
        <w:t xml:space="preserve"> </w:t>
      </w:r>
      <w:r w:rsidR="00AD441D">
        <w:t xml:space="preserve">petition </w:t>
      </w:r>
      <w:r w:rsidR="00AD441D" w:rsidRPr="00FE19FF">
        <w:t xml:space="preserve">heading </w:t>
      </w:r>
      <w:r>
        <w:t>i</w:t>
      </w:r>
      <w:r w:rsidRPr="00FE19FF">
        <w:t xml:space="preserve">s </w:t>
      </w:r>
      <w:r>
        <w:t xml:space="preserve">printed </w:t>
      </w:r>
      <w:r w:rsidRPr="00FE19FF">
        <w:t>in Calibri</w:t>
      </w:r>
      <w:r>
        <w:t xml:space="preserve">, the current default </w:t>
      </w:r>
      <w:r w:rsidR="0000376F">
        <w:t>family</w:t>
      </w:r>
      <w:r w:rsidR="001A6194">
        <w:t xml:space="preserve"> </w:t>
      </w:r>
      <w:r>
        <w:t xml:space="preserve">in Microsoft software.  </w:t>
      </w:r>
      <w:r w:rsidR="004653B0">
        <w:t>It is further undisputed that the font was categorized by the Microsoft software as “14-point.”  However, a</w:t>
      </w:r>
      <w:r>
        <w:t xml:space="preserve">s conceded by the printers and by plaintiff in this case, the actual size of text varies depending on the font </w:t>
      </w:r>
      <w:r w:rsidR="007E2E4A">
        <w:t xml:space="preserve">family </w:t>
      </w:r>
      <w:r>
        <w:t xml:space="preserve">chosen.  In other words, </w:t>
      </w:r>
      <w:r w:rsidR="004653B0">
        <w:t>“</w:t>
      </w:r>
      <w:r>
        <w:t>14-point</w:t>
      </w:r>
      <w:r w:rsidR="004653B0">
        <w:t>”</w:t>
      </w:r>
      <w:r>
        <w:t xml:space="preserve"> Calibri font measures in a different </w:t>
      </w:r>
      <w:r w:rsidRPr="00FC4ADF">
        <w:rPr>
          <w:i/>
        </w:rPr>
        <w:t>type</w:t>
      </w:r>
      <w:r>
        <w:t xml:space="preserve"> </w:t>
      </w:r>
      <w:r w:rsidRPr="00C40765">
        <w:rPr>
          <w:i/>
        </w:rPr>
        <w:t>size</w:t>
      </w:r>
      <w:r>
        <w:t xml:space="preserve"> than </w:t>
      </w:r>
      <w:r w:rsidR="004653B0">
        <w:t>“</w:t>
      </w:r>
      <w:r>
        <w:t>14-point</w:t>
      </w:r>
      <w:r w:rsidR="004653B0">
        <w:t>”</w:t>
      </w:r>
      <w:r>
        <w:t xml:space="preserve"> Arial font.  The</w:t>
      </w:r>
      <w:r w:rsidR="00BA597A">
        <w:t>refore, text in a so-called 14-point</w:t>
      </w:r>
      <w:r>
        <w:t xml:space="preserve"> </w:t>
      </w:r>
      <w:r w:rsidRPr="00C40765">
        <w:rPr>
          <w:i/>
        </w:rPr>
        <w:t>font</w:t>
      </w:r>
      <w:r>
        <w:t xml:space="preserve"> </w:t>
      </w:r>
      <w:r w:rsidR="00EF491E">
        <w:t xml:space="preserve">may </w:t>
      </w:r>
      <w:r>
        <w:t>not necessarily meet the 14-</w:t>
      </w:r>
      <w:r w:rsidRPr="00523041">
        <w:t>point</w:t>
      </w:r>
      <w:r w:rsidRPr="00C40765">
        <w:rPr>
          <w:i/>
        </w:rPr>
        <w:t xml:space="preserve"> type</w:t>
      </w:r>
      <w:r>
        <w:t xml:space="preserve"> standard of </w:t>
      </w:r>
      <w:r w:rsidR="004653B0">
        <w:t>14/72</w:t>
      </w:r>
      <w:r>
        <w:t xml:space="preserve"> inches.</w:t>
      </w:r>
      <w:r w:rsidR="00AD441D">
        <w:rPr>
          <w:rStyle w:val="FootnoteReference"/>
        </w:rPr>
        <w:footnoteReference w:id="12"/>
      </w:r>
      <w:r w:rsidR="00AD441D">
        <w:t xml:space="preserve"> </w:t>
      </w:r>
      <w:r>
        <w:t xml:space="preserve"> </w:t>
      </w:r>
      <w:r w:rsidR="00AD441D">
        <w:t xml:space="preserve">Because a heading of 14-point type is plainly and unambiguously prescribed by the Secretary and MCL 168.482(2), text that does not measure </w:t>
      </w:r>
      <w:r w:rsidR="00BA597A">
        <w:t>14 point</w:t>
      </w:r>
      <w:r w:rsidR="00885ADA">
        <w:t xml:space="preserve">, or 14/72 inches, </w:t>
      </w:r>
      <w:r w:rsidR="00AD441D">
        <w:t xml:space="preserve">is insufficient under the statute.  </w:t>
      </w:r>
      <w:r w:rsidR="00885ADA">
        <w:t>Here, t</w:t>
      </w:r>
      <w:r w:rsidR="00AD441D">
        <w:t xml:space="preserve">he Calibri font utilized in plaintiff’s petition heading is smaller than the prescribed 14-point type measurement of </w:t>
      </w:r>
      <w:r w:rsidR="00885ADA">
        <w:t>14/72</w:t>
      </w:r>
      <w:r w:rsidR="00AD441D">
        <w:t xml:space="preserve"> inches.</w:t>
      </w:r>
      <w:r>
        <w:t xml:space="preserve">  </w:t>
      </w:r>
      <w:r w:rsidR="003338DB">
        <w:t xml:space="preserve">In fact, </w:t>
      </w:r>
      <w:r w:rsidR="0022070B">
        <w:t>the heading o</w:t>
      </w:r>
      <w:r w:rsidR="00F556AE">
        <w:t>n</w:t>
      </w:r>
      <w:r w:rsidR="0022070B">
        <w:t xml:space="preserve"> plaintiff’s</w:t>
      </w:r>
      <w:r w:rsidR="003338DB">
        <w:t xml:space="preserve"> petition </w:t>
      </w:r>
      <w:r w:rsidR="00D81AA5">
        <w:t xml:space="preserve">only </w:t>
      </w:r>
      <w:r w:rsidR="00C92DE1">
        <w:t>measures</w:t>
      </w:r>
      <w:r w:rsidR="003338DB">
        <w:t xml:space="preserve"> 12</w:t>
      </w:r>
      <w:r w:rsidR="00C17E91">
        <w:t xml:space="preserve"> </w:t>
      </w:r>
      <w:r w:rsidR="003338DB">
        <w:t>point</w:t>
      </w:r>
      <w:r w:rsidR="00C17E91">
        <w:t xml:space="preserve"> on an E-scale ruler</w:t>
      </w:r>
      <w:r w:rsidR="003338DB">
        <w:t xml:space="preserve">.  </w:t>
      </w:r>
      <w:r w:rsidR="004F3F4E">
        <w:t>Thus, plaintiff’s petition contains a fatal formatting defect, and the petitions are invalid under the Secretary’s prescribed format and §</w:t>
      </w:r>
      <w:r w:rsidR="00031E14">
        <w:t> </w:t>
      </w:r>
      <w:r w:rsidR="004F3F4E">
        <w:t>482.</w:t>
      </w:r>
      <w:r w:rsidR="004F3F4E">
        <w:rPr>
          <w:rStyle w:val="FootnoteReference"/>
        </w:rPr>
        <w:footnoteReference w:id="13"/>
      </w:r>
    </w:p>
    <w:p w:rsidR="00240E3D" w:rsidRDefault="001B3601" w:rsidP="00E4656F">
      <w:pPr>
        <w:pStyle w:val="Standard"/>
        <w:spacing w:line="240" w:lineRule="auto"/>
        <w:jc w:val="center"/>
      </w:pPr>
      <w:r>
        <w:t>2</w:t>
      </w:r>
    </w:p>
    <w:p w:rsidR="004F3F4E" w:rsidRDefault="00F87B76" w:rsidP="00E4656F">
      <w:pPr>
        <w:pStyle w:val="Standard"/>
        <w:spacing w:line="240" w:lineRule="auto"/>
      </w:pPr>
      <w:r>
        <w:tab/>
      </w:r>
      <w:r w:rsidR="004F3F4E">
        <w:t xml:space="preserve">Our inquiry does not end here, however.  As we previously noted, plaintiff argues in the alternative that the form of the petition substantially complies with the statutory requirements, and that under this Court’s decision in </w:t>
      </w:r>
      <w:r w:rsidR="004F3F4E">
        <w:rPr>
          <w:i/>
        </w:rPr>
        <w:t>Bloomfield Charter Twp v Oakland Co Clerk</w:t>
      </w:r>
      <w:r w:rsidR="004F3F4E" w:rsidRPr="00330A85">
        <w:t>,</w:t>
      </w:r>
      <w:r w:rsidR="004F3F4E" w:rsidRPr="002B4205">
        <w:t xml:space="preserve"> </w:t>
      </w:r>
      <w:r w:rsidR="004F3F4E">
        <w:t xml:space="preserve">253 Mich App 1; 654 NW2d 610 (2002), certification is warranted.  We agree that </w:t>
      </w:r>
      <w:r w:rsidR="004F3F4E" w:rsidRPr="00FC4ADF">
        <w:rPr>
          <w:i/>
        </w:rPr>
        <w:t>Bloomfield</w:t>
      </w:r>
      <w:r w:rsidR="004F3F4E">
        <w:t xml:space="preserve"> compels certification of the referendum petitions in this case because </w:t>
      </w:r>
      <w:r w:rsidR="00B313AD">
        <w:t xml:space="preserve">the 12-point type of plaintiff’s petition heading is in substantial compliance with the 14-point heading </w:t>
      </w:r>
      <w:r w:rsidR="004F3F4E">
        <w:t xml:space="preserve">requirement prescribed by the Secretary </w:t>
      </w:r>
      <w:r w:rsidR="00F341D3">
        <w:t xml:space="preserve">in the January 2011 memorandum </w:t>
      </w:r>
      <w:r w:rsidR="004F3F4E">
        <w:t xml:space="preserve">and dictated in MCL 168.482.  </w:t>
      </w:r>
      <w:r w:rsidR="00F341D3">
        <w:t xml:space="preserve">However, </w:t>
      </w:r>
      <w:r w:rsidR="00F341D3">
        <w:lastRenderedPageBreak/>
        <w:t>b</w:t>
      </w:r>
      <w:r w:rsidR="004F3F4E">
        <w:t xml:space="preserve">ecause we </w:t>
      </w:r>
      <w:r w:rsidR="00F341D3">
        <w:t>conclude that</w:t>
      </w:r>
      <w:r w:rsidR="004F3F4E">
        <w:t xml:space="preserve"> </w:t>
      </w:r>
      <w:r w:rsidR="004F3F4E" w:rsidRPr="00701B3C">
        <w:rPr>
          <w:i/>
        </w:rPr>
        <w:t>Bloomfield</w:t>
      </w:r>
      <w:r w:rsidR="00F341D3">
        <w:rPr>
          <w:i/>
        </w:rPr>
        <w:t xml:space="preserve"> </w:t>
      </w:r>
      <w:r w:rsidR="00F341D3">
        <w:t>was wrongly decided</w:t>
      </w:r>
      <w:r w:rsidR="004F3F4E">
        <w:t xml:space="preserve">, we </w:t>
      </w:r>
      <w:r w:rsidR="00FD2846">
        <w:t>explain</w:t>
      </w:r>
      <w:r w:rsidR="004F3F4E">
        <w:t xml:space="preserve"> the rationale in </w:t>
      </w:r>
      <w:r w:rsidR="004F3F4E" w:rsidRPr="00701B3C">
        <w:rPr>
          <w:i/>
        </w:rPr>
        <w:t>Bloomfield</w:t>
      </w:r>
      <w:r w:rsidR="004F3F4E">
        <w:t xml:space="preserve"> and our disagreement with it.</w:t>
      </w:r>
    </w:p>
    <w:p w:rsidR="00107906" w:rsidRDefault="006B0B88" w:rsidP="00E4656F">
      <w:pPr>
        <w:pStyle w:val="Standard"/>
        <w:spacing w:line="240" w:lineRule="auto"/>
      </w:pPr>
      <w:r>
        <w:tab/>
        <w:t xml:space="preserve">The petitions at issue in </w:t>
      </w:r>
      <w:r>
        <w:rPr>
          <w:i/>
        </w:rPr>
        <w:t>Bloomfield</w:t>
      </w:r>
      <w:r>
        <w:t xml:space="preserve"> were for the initiation of an election to decide whether the intervening defendant, the city of Pontiac, could annex township property.</w:t>
      </w:r>
      <w:r>
        <w:rPr>
          <w:rStyle w:val="FootnoteReference"/>
        </w:rPr>
        <w:footnoteReference w:id="14"/>
      </w:r>
      <w:r>
        <w:t xml:space="preserve">  </w:t>
      </w:r>
      <w:r w:rsidR="00D94BA7">
        <w:t xml:space="preserve">Under </w:t>
      </w:r>
      <w:r>
        <w:t>MCL 42.2a and MCL 42.35(4)</w:t>
      </w:r>
      <w:r w:rsidR="00D94BA7">
        <w:t>,</w:t>
      </w:r>
      <w:r>
        <w:t xml:space="preserve"> </w:t>
      </w:r>
      <w:r w:rsidR="00D94BA7">
        <w:t xml:space="preserve">after </w:t>
      </w:r>
      <w:r>
        <w:t>the circulation and signature of annexation petitions</w:t>
      </w:r>
      <w:r w:rsidR="00D94BA7">
        <w:t>, such petitions are</w:t>
      </w:r>
      <w:r>
        <w:t xml:space="preserve"> to be filed with the county clerk.  MCL 42.2a provides that such petitions are subject to MCL 168.488.  MCL 168.488 explains that these petitions are subject to the requirements of MCL 168.482(1), (4), (5), and (6).  </w:t>
      </w:r>
      <w:r w:rsidR="00D94BA7">
        <w:t>In addition</w:t>
      </w:r>
      <w:r>
        <w:t xml:space="preserve">, MCL 168.482(6) incorporates the requirements of MCL </w:t>
      </w:r>
      <w:proofErr w:type="gramStart"/>
      <w:r>
        <w:t>168.544c(</w:t>
      </w:r>
      <w:proofErr w:type="gramEnd"/>
      <w:r>
        <w:t>1) and (2).</w:t>
      </w:r>
    </w:p>
    <w:p w:rsidR="00107906" w:rsidRDefault="00D94BA7" w:rsidP="00E4656F">
      <w:pPr>
        <w:pStyle w:val="Standard"/>
        <w:spacing w:line="240" w:lineRule="auto"/>
        <w:rPr>
          <w:szCs w:val="24"/>
        </w:rPr>
      </w:pPr>
      <w:r>
        <w:tab/>
      </w:r>
      <w:r w:rsidR="006B0B88">
        <w:t xml:space="preserve">Bloomfield Township asserted, </w:t>
      </w:r>
      <w:r w:rsidR="006B0B88" w:rsidRPr="00FC4ADF">
        <w:rPr>
          <w:i/>
        </w:rPr>
        <w:t>inter alia</w:t>
      </w:r>
      <w:r w:rsidR="006B0B88">
        <w:t xml:space="preserve">, that the petition’s warning language was not in </w:t>
      </w:r>
      <w:r w:rsidR="00F341D3">
        <w:t xml:space="preserve">the </w:t>
      </w:r>
      <w:r w:rsidR="006B0B88">
        <w:t xml:space="preserve">12-point boldfaced type required by MCL </w:t>
      </w:r>
      <w:proofErr w:type="gramStart"/>
      <w:r w:rsidR="006B0B88">
        <w:t>168.544c(</w:t>
      </w:r>
      <w:proofErr w:type="gramEnd"/>
      <w:r w:rsidR="006B0B88">
        <w:t xml:space="preserve">1) and MCL 168.482(5).  The circuit court denied relief to the township.  </w:t>
      </w:r>
      <w:proofErr w:type="gramStart"/>
      <w:r w:rsidR="006B0B88" w:rsidRPr="00330A85">
        <w:rPr>
          <w:i/>
        </w:rPr>
        <w:t>Bloomfield</w:t>
      </w:r>
      <w:r w:rsidR="006B0B88">
        <w:t xml:space="preserve">, </w:t>
      </w:r>
      <w:r w:rsidR="006B0B88" w:rsidRPr="00330A85">
        <w:t>253</w:t>
      </w:r>
      <w:r w:rsidR="006B0B88">
        <w:t xml:space="preserve"> Mich App at 4-9, 21.</w:t>
      </w:r>
      <w:proofErr w:type="gramEnd"/>
      <w:r>
        <w:t xml:space="preserve">  </w:t>
      </w:r>
      <w:r w:rsidR="006B0B88">
        <w:t xml:space="preserve">On appeal, the </w:t>
      </w:r>
      <w:r w:rsidR="006B0B88" w:rsidRPr="00563337">
        <w:rPr>
          <w:i/>
        </w:rPr>
        <w:t>Bloomfield</w:t>
      </w:r>
      <w:r w:rsidR="006B0B88">
        <w:t xml:space="preserve"> Court </w:t>
      </w:r>
      <w:r w:rsidR="00E72ECE">
        <w:t xml:space="preserve">adopted the “substantial compliance” doctrine articulated in </w:t>
      </w:r>
      <w:r w:rsidR="00E72ECE" w:rsidRPr="00DE254E">
        <w:rPr>
          <w:i/>
        </w:rPr>
        <w:t>Meridian Charter Twp v East Lansing</w:t>
      </w:r>
      <w:r w:rsidR="00E72ECE" w:rsidRPr="00C40765">
        <w:t xml:space="preserve">, </w:t>
      </w:r>
      <w:r w:rsidR="00E72ECE" w:rsidRPr="007C01B0">
        <w:t>101 Mich App 805, 810; 300 NW2d 703 (1980)</w:t>
      </w:r>
      <w:r w:rsidR="00E72ECE">
        <w:t xml:space="preserve">, and </w:t>
      </w:r>
      <w:r>
        <w:t>affirmed the circuit court</w:t>
      </w:r>
      <w:r w:rsidR="00684239">
        <w:t>.</w:t>
      </w:r>
      <w:r w:rsidR="00E72ECE">
        <w:t xml:space="preserve">  Under the substantial compliance doctrine, </w:t>
      </w:r>
      <w:r w:rsidR="00C149A6" w:rsidRPr="00C149A6">
        <w:rPr>
          <w:color w:val="000000"/>
          <w:szCs w:val="24"/>
          <w:shd w:val="clear" w:color="auto" w:fill="FFFFFF"/>
        </w:rPr>
        <w:t>“</w:t>
      </w:r>
      <w:r w:rsidR="00220456">
        <w:rPr>
          <w:color w:val="000000"/>
          <w:szCs w:val="24"/>
          <w:shd w:val="clear" w:color="auto" w:fill="FFFFFF"/>
        </w:rPr>
        <w:t>‘</w:t>
      </w:r>
      <w:r w:rsidR="00E72ECE">
        <w:rPr>
          <w:color w:val="000000"/>
          <w:szCs w:val="24"/>
          <w:shd w:val="clear" w:color="auto" w:fill="FFFFFF"/>
        </w:rPr>
        <w:t>[a]</w:t>
      </w:r>
      <w:r w:rsidR="00C149A6" w:rsidRPr="00C149A6">
        <w:rPr>
          <w:color w:val="000000"/>
          <w:szCs w:val="24"/>
          <w:shd w:val="clear" w:color="auto" w:fill="FFFFFF"/>
        </w:rPr>
        <w:t>s a general principle, all doubts as to technical deficiencies or failure to comply with the exact letter of procedural requirements are resolved in favor of permitting the people to vote and express their will on any proposal subject to election.</w:t>
      </w:r>
      <w:r w:rsidR="00220456">
        <w:rPr>
          <w:color w:val="000000"/>
          <w:szCs w:val="24"/>
          <w:shd w:val="clear" w:color="auto" w:fill="FFFFFF"/>
        </w:rPr>
        <w:t>’</w:t>
      </w:r>
      <w:r w:rsidR="00C149A6" w:rsidRPr="00C149A6">
        <w:rPr>
          <w:color w:val="000000"/>
          <w:szCs w:val="24"/>
          <w:shd w:val="clear" w:color="auto" w:fill="FFFFFF"/>
        </w:rPr>
        <w:t>”</w:t>
      </w:r>
      <w:r w:rsidR="00E72ECE" w:rsidRPr="006C7B9C">
        <w:rPr>
          <w:color w:val="000000"/>
          <w:szCs w:val="24"/>
          <w:shd w:val="clear" w:color="auto" w:fill="FFFFFF"/>
        </w:rPr>
        <w:t xml:space="preserve">  </w:t>
      </w:r>
      <w:r w:rsidR="00B313AD">
        <w:rPr>
          <w:i/>
          <w:color w:val="000000"/>
          <w:shd w:val="clear" w:color="auto" w:fill="FFFFFF"/>
        </w:rPr>
        <w:t>Bloomfield</w:t>
      </w:r>
      <w:r w:rsidR="00B313AD">
        <w:rPr>
          <w:color w:val="000000"/>
          <w:szCs w:val="24"/>
          <w:shd w:val="clear" w:color="auto" w:fill="FFFFFF"/>
        </w:rPr>
        <w:t>, 253 Mich App a</w:t>
      </w:r>
      <w:r w:rsidR="00220456">
        <w:rPr>
          <w:color w:val="000000"/>
          <w:szCs w:val="24"/>
          <w:shd w:val="clear" w:color="auto" w:fill="FFFFFF"/>
        </w:rPr>
        <w:t>t</w:t>
      </w:r>
      <w:r w:rsidR="00B313AD">
        <w:rPr>
          <w:color w:val="000000"/>
          <w:szCs w:val="24"/>
          <w:shd w:val="clear" w:color="auto" w:fill="FFFFFF"/>
        </w:rPr>
        <w:t xml:space="preserve"> 21</w:t>
      </w:r>
      <w:proofErr w:type="gramStart"/>
      <w:r w:rsidR="00E72ECE" w:rsidRPr="006C7B9C">
        <w:rPr>
          <w:color w:val="000000"/>
          <w:szCs w:val="24"/>
          <w:shd w:val="clear" w:color="auto" w:fill="FFFFFF"/>
        </w:rPr>
        <w:t xml:space="preserve">, </w:t>
      </w:r>
      <w:r w:rsidR="00220456">
        <w:rPr>
          <w:color w:val="000000"/>
          <w:szCs w:val="24"/>
          <w:shd w:val="clear" w:color="auto" w:fill="FFFFFF"/>
        </w:rPr>
        <w:t>quoting</w:t>
      </w:r>
      <w:proofErr w:type="gramEnd"/>
      <w:r w:rsidR="00220456">
        <w:rPr>
          <w:rStyle w:val="apple-converted-space"/>
          <w:color w:val="000000"/>
          <w:szCs w:val="24"/>
          <w:shd w:val="clear" w:color="auto" w:fill="FFFFFF"/>
        </w:rPr>
        <w:t xml:space="preserve"> </w:t>
      </w:r>
      <w:r w:rsidR="00220456">
        <w:rPr>
          <w:rStyle w:val="apple-converted-space"/>
          <w:i/>
          <w:color w:val="000000"/>
          <w:szCs w:val="24"/>
          <w:shd w:val="clear" w:color="auto" w:fill="FFFFFF"/>
        </w:rPr>
        <w:t>Meridian</w:t>
      </w:r>
      <w:r w:rsidR="00220456">
        <w:rPr>
          <w:rStyle w:val="apple-converted-space"/>
          <w:color w:val="000000"/>
          <w:szCs w:val="24"/>
          <w:shd w:val="clear" w:color="auto" w:fill="FFFFFF"/>
        </w:rPr>
        <w:t>, 101 Mich App at 810.</w:t>
      </w:r>
      <w:r w:rsidR="006C7B9C">
        <w:t xml:space="preserve">  </w:t>
      </w:r>
      <w:r w:rsidR="00B313AD">
        <w:t xml:space="preserve">The substantial compliance doctrine also examines whether “the petition language appears ‘in sufficiently clear terms </w:t>
      </w:r>
      <w:r w:rsidR="00B313AD" w:rsidRPr="00B313AD">
        <w:rPr>
          <w:color w:val="000000"/>
          <w:szCs w:val="24"/>
          <w:shd w:val="clear" w:color="auto" w:fill="FFFFFF"/>
        </w:rPr>
        <w:t>so that those signing the petition can be assumed to have understood to what it was they were appending their signatures.</w:t>
      </w:r>
      <w:r w:rsidR="00E33871">
        <w:rPr>
          <w:color w:val="000000"/>
          <w:szCs w:val="24"/>
          <w:shd w:val="clear" w:color="auto" w:fill="FFFFFF"/>
        </w:rPr>
        <w:t>’</w:t>
      </w:r>
      <w:r w:rsidR="00B313AD" w:rsidRPr="00B313AD">
        <w:rPr>
          <w:color w:val="000000"/>
          <w:szCs w:val="24"/>
          <w:shd w:val="clear" w:color="auto" w:fill="FFFFFF"/>
        </w:rPr>
        <w:t>”</w:t>
      </w:r>
      <w:r w:rsidR="00B313AD">
        <w:rPr>
          <w:szCs w:val="24"/>
        </w:rPr>
        <w:t xml:space="preserve">  </w:t>
      </w:r>
      <w:r w:rsidR="00220456" w:rsidRPr="00220456">
        <w:rPr>
          <w:i/>
          <w:szCs w:val="24"/>
        </w:rPr>
        <w:t>Bloomfield</w:t>
      </w:r>
      <w:r w:rsidR="00220456">
        <w:rPr>
          <w:szCs w:val="24"/>
        </w:rPr>
        <w:t>, 253 Mich App at 21</w:t>
      </w:r>
      <w:proofErr w:type="gramStart"/>
      <w:r w:rsidR="00B313AD">
        <w:rPr>
          <w:szCs w:val="24"/>
        </w:rPr>
        <w:t xml:space="preserve">, </w:t>
      </w:r>
      <w:r w:rsidR="00E33871">
        <w:rPr>
          <w:szCs w:val="24"/>
        </w:rPr>
        <w:t>quoting</w:t>
      </w:r>
      <w:proofErr w:type="gramEnd"/>
      <w:r w:rsidR="00E33871">
        <w:rPr>
          <w:szCs w:val="24"/>
        </w:rPr>
        <w:t xml:space="preserve"> </w:t>
      </w:r>
      <w:r w:rsidR="00B313AD" w:rsidRPr="00B313AD">
        <w:rPr>
          <w:i/>
          <w:szCs w:val="24"/>
        </w:rPr>
        <w:t>Meridian</w:t>
      </w:r>
      <w:r w:rsidR="00B313AD">
        <w:rPr>
          <w:szCs w:val="24"/>
        </w:rPr>
        <w:t>, 101 Mich App at 809-810.</w:t>
      </w:r>
    </w:p>
    <w:p w:rsidR="00107906" w:rsidRDefault="00B313AD" w:rsidP="00E4656F">
      <w:pPr>
        <w:pStyle w:val="Standard"/>
        <w:spacing w:line="240" w:lineRule="auto"/>
        <w:rPr>
          <w:szCs w:val="24"/>
          <w:shd w:val="clear" w:color="auto" w:fill="FFFFFF"/>
        </w:rPr>
      </w:pPr>
      <w:r w:rsidRPr="00DE78EE">
        <w:rPr>
          <w:szCs w:val="24"/>
        </w:rPr>
        <w:tab/>
      </w:r>
      <w:r w:rsidR="00D94BA7" w:rsidRPr="00DE78EE">
        <w:rPr>
          <w:szCs w:val="24"/>
        </w:rPr>
        <w:t>I</w:t>
      </w:r>
      <w:r w:rsidR="00D94BA7" w:rsidRPr="00DE78EE">
        <w:t>n affirming the lower court</w:t>
      </w:r>
      <w:r w:rsidR="000F09FE" w:rsidRPr="00DE78EE">
        <w:t>’</w:t>
      </w:r>
      <w:r w:rsidR="00D94BA7" w:rsidRPr="00DE78EE">
        <w:t xml:space="preserve">s conclusion that the petitions were valid and that the annexation election should proceed, the </w:t>
      </w:r>
      <w:r w:rsidR="00C149A6" w:rsidRPr="00DE78EE">
        <w:rPr>
          <w:i/>
        </w:rPr>
        <w:t>Bloomfield</w:t>
      </w:r>
      <w:r w:rsidR="00A95E79" w:rsidRPr="00DE78EE">
        <w:t xml:space="preserve"> </w:t>
      </w:r>
      <w:r w:rsidR="00D94BA7" w:rsidRPr="00DE78EE">
        <w:t xml:space="preserve">Court </w:t>
      </w:r>
      <w:r w:rsidR="000F09FE" w:rsidRPr="00DE78EE">
        <w:t xml:space="preserve">acknowledged that </w:t>
      </w:r>
      <w:r w:rsidR="000F09FE" w:rsidRPr="00DE78EE">
        <w:rPr>
          <w:szCs w:val="24"/>
        </w:rPr>
        <w:t>“</w:t>
      </w:r>
      <w:r w:rsidR="003C16F3" w:rsidRPr="003C16F3">
        <w:rPr>
          <w:rStyle w:val="bestsection"/>
          <w:szCs w:val="24"/>
          <w:shd w:val="clear" w:color="auto" w:fill="FFFFFF"/>
        </w:rPr>
        <w:t>the relevant Michigan Election Law provisions clearly and unambiguously require that various components shall appear within a</w:t>
      </w:r>
      <w:r w:rsidR="00DE78EE">
        <w:rPr>
          <w:rStyle w:val="apple-converted-space"/>
          <w:szCs w:val="24"/>
          <w:shd w:val="clear" w:color="auto" w:fill="FFFFFF"/>
        </w:rPr>
        <w:t xml:space="preserve"> petition</w:t>
      </w:r>
      <w:bookmarkStart w:id="4" w:name="SearchTerm"/>
      <w:r w:rsidR="00DE78EE">
        <w:rPr>
          <w:rStyle w:val="apple-converted-space"/>
          <w:szCs w:val="24"/>
          <w:shd w:val="clear" w:color="auto" w:fill="FFFFFF"/>
        </w:rPr>
        <w:t xml:space="preserve"> </w:t>
      </w:r>
      <w:r w:rsidR="003C16F3" w:rsidRPr="003C16F3">
        <w:rPr>
          <w:rStyle w:val="bestsection"/>
          <w:szCs w:val="24"/>
          <w:shd w:val="clear" w:color="auto" w:fill="FFFFFF"/>
        </w:rPr>
        <w:t>for</w:t>
      </w:r>
      <w:bookmarkEnd w:id="4"/>
      <w:r w:rsidR="003C16F3" w:rsidRPr="003C16F3">
        <w:rPr>
          <w:rStyle w:val="bestsection"/>
          <w:szCs w:val="24"/>
          <w:shd w:val="clear" w:color="auto" w:fill="FFFFFF"/>
        </w:rPr>
        <w:t xml:space="preserve"> </w:t>
      </w:r>
      <w:r w:rsidR="00DE78EE">
        <w:rPr>
          <w:rStyle w:val="bestsection"/>
          <w:szCs w:val="24"/>
          <w:shd w:val="clear" w:color="auto" w:fill="FFFFFF"/>
        </w:rPr>
        <w:t>annexation</w:t>
      </w:r>
      <w:r w:rsidR="003C16F3" w:rsidRPr="003C16F3">
        <w:rPr>
          <w:rStyle w:val="bestsection"/>
          <w:szCs w:val="24"/>
          <w:shd w:val="clear" w:color="auto" w:fill="FFFFFF"/>
        </w:rPr>
        <w:t>,”</w:t>
      </w:r>
      <w:r w:rsidR="000F09FE" w:rsidRPr="00DE78EE">
        <w:rPr>
          <w:szCs w:val="24"/>
        </w:rPr>
        <w:t xml:space="preserve"> and that the “</w:t>
      </w:r>
      <w:r w:rsidR="00DE78EE">
        <w:rPr>
          <w:szCs w:val="24"/>
        </w:rPr>
        <w:t>annexation petitions</w:t>
      </w:r>
      <w:bookmarkStart w:id="5" w:name="SR;7749"/>
      <w:bookmarkEnd w:id="5"/>
      <w:r w:rsidR="00DE78EE">
        <w:rPr>
          <w:rStyle w:val="apple-converted-space"/>
          <w:szCs w:val="24"/>
          <w:shd w:val="clear" w:color="auto" w:fill="FFFFFF"/>
        </w:rPr>
        <w:t xml:space="preserve"> </w:t>
      </w:r>
      <w:r w:rsidR="003C16F3" w:rsidRPr="003C16F3">
        <w:rPr>
          <w:szCs w:val="24"/>
          <w:shd w:val="clear" w:color="auto" w:fill="FFFFFF"/>
        </w:rPr>
        <w:t>undisputedly contained several variations from</w:t>
      </w:r>
      <w:bookmarkStart w:id="6" w:name="sp_595_623"/>
      <w:bookmarkStart w:id="7" w:name="SDU_623"/>
      <w:bookmarkStart w:id="8" w:name="citeas((Cite_as:_253_Mich.App._1,_*20,_6"/>
      <w:bookmarkEnd w:id="6"/>
      <w:bookmarkEnd w:id="7"/>
      <w:bookmarkEnd w:id="8"/>
      <w:r w:rsidR="003C16F3" w:rsidRPr="003C16F3">
        <w:rPr>
          <w:szCs w:val="24"/>
          <w:shd w:val="clear" w:color="auto" w:fill="FFFFFF"/>
        </w:rPr>
        <w:t xml:space="preserve"> the statutorily prescribed language.”  </w:t>
      </w:r>
      <w:proofErr w:type="gramStart"/>
      <w:r w:rsidR="00DE78EE" w:rsidRPr="00376AA0">
        <w:rPr>
          <w:i/>
          <w:szCs w:val="24"/>
          <w:shd w:val="clear" w:color="auto" w:fill="FFFFFF"/>
        </w:rPr>
        <w:t>Bloomfield</w:t>
      </w:r>
      <w:r w:rsidR="00DE78EE">
        <w:rPr>
          <w:szCs w:val="24"/>
          <w:shd w:val="clear" w:color="auto" w:fill="FFFFFF"/>
        </w:rPr>
        <w:t>, 253 Mich App at 20, 22.</w:t>
      </w:r>
      <w:proofErr w:type="gramEnd"/>
      <w:r w:rsidR="00DE78EE">
        <w:rPr>
          <w:szCs w:val="24"/>
          <w:shd w:val="clear" w:color="auto" w:fill="FFFFFF"/>
        </w:rPr>
        <w:t xml:space="preserve">  </w:t>
      </w:r>
      <w:r w:rsidR="003C16F3" w:rsidRPr="003C16F3">
        <w:rPr>
          <w:szCs w:val="24"/>
          <w:shd w:val="clear" w:color="auto" w:fill="FFFFFF"/>
        </w:rPr>
        <w:t xml:space="preserve">Nevertheless, applying the substantial compliance doctrine as articulated in </w:t>
      </w:r>
      <w:r w:rsidR="003C16F3" w:rsidRPr="003C16F3">
        <w:rPr>
          <w:i/>
          <w:shd w:val="clear" w:color="auto" w:fill="FFFFFF"/>
        </w:rPr>
        <w:t>Meridian</w:t>
      </w:r>
      <w:r w:rsidR="003C16F3" w:rsidRPr="003C16F3">
        <w:rPr>
          <w:szCs w:val="24"/>
          <w:shd w:val="clear" w:color="auto" w:fill="FFFFFF"/>
        </w:rPr>
        <w:t xml:space="preserve">, the Court found that the petitions were properly certified as valid despite the failure of the petition to strictly comply with statutory petition requirements.  </w:t>
      </w:r>
      <w:r w:rsidR="00376AA0">
        <w:rPr>
          <w:i/>
          <w:szCs w:val="24"/>
          <w:shd w:val="clear" w:color="auto" w:fill="FFFFFF"/>
        </w:rPr>
        <w:t>Id.</w:t>
      </w:r>
      <w:r w:rsidR="00376AA0">
        <w:rPr>
          <w:szCs w:val="24"/>
          <w:shd w:val="clear" w:color="auto" w:fill="FFFFFF"/>
        </w:rPr>
        <w:t xml:space="preserve"> at 24-25.  </w:t>
      </w:r>
      <w:r w:rsidR="003C16F3" w:rsidRPr="003C16F3">
        <w:rPr>
          <w:szCs w:val="24"/>
          <w:shd w:val="clear" w:color="auto" w:fill="FFFFFF"/>
        </w:rPr>
        <w:t xml:space="preserve">In the </w:t>
      </w:r>
      <w:r w:rsidR="003C16F3" w:rsidRPr="003C16F3">
        <w:rPr>
          <w:i/>
          <w:shd w:val="clear" w:color="auto" w:fill="FFFFFF"/>
        </w:rPr>
        <w:t>Bloomfield</w:t>
      </w:r>
      <w:r w:rsidR="003C16F3" w:rsidRPr="003C16F3">
        <w:rPr>
          <w:szCs w:val="24"/>
          <w:shd w:val="clear" w:color="auto" w:fill="FFFFFF"/>
        </w:rPr>
        <w:t xml:space="preserve"> Court’s view, “the</w:t>
      </w:r>
      <w:bookmarkStart w:id="9" w:name="SR;8268"/>
      <w:bookmarkEnd w:id="9"/>
      <w:r w:rsidR="00DE78EE">
        <w:rPr>
          <w:rStyle w:val="apple-converted-space"/>
          <w:szCs w:val="24"/>
          <w:shd w:val="clear" w:color="auto" w:fill="FFFFFF"/>
        </w:rPr>
        <w:t xml:space="preserve"> township </w:t>
      </w:r>
      <w:r w:rsidR="003C16F3" w:rsidRPr="003C16F3">
        <w:rPr>
          <w:szCs w:val="24"/>
          <w:shd w:val="clear" w:color="auto" w:fill="FFFFFF"/>
        </w:rPr>
        <w:t>has failed to direct our attention to any section of the Michigan Election Law or any other legislative act suggesting that the filing of a technically imperfect</w:t>
      </w:r>
      <w:r w:rsidR="00DE78EE">
        <w:rPr>
          <w:rStyle w:val="apple-converted-space"/>
          <w:szCs w:val="24"/>
          <w:shd w:val="clear" w:color="auto" w:fill="FFFFFF"/>
        </w:rPr>
        <w:t xml:space="preserve"> </w:t>
      </w:r>
      <w:bookmarkStart w:id="10" w:name="SR;8296"/>
      <w:bookmarkEnd w:id="10"/>
      <w:r w:rsidR="00DE78EE">
        <w:rPr>
          <w:rStyle w:val="apple-converted-space"/>
          <w:szCs w:val="24"/>
          <w:shd w:val="clear" w:color="auto" w:fill="FFFFFF"/>
        </w:rPr>
        <w:t xml:space="preserve">petition </w:t>
      </w:r>
      <w:r w:rsidR="003C16F3" w:rsidRPr="003C16F3">
        <w:rPr>
          <w:szCs w:val="24"/>
          <w:shd w:val="clear" w:color="auto" w:fill="FFFFFF"/>
        </w:rPr>
        <w:t xml:space="preserve">necessarily precludes an election regarding the matter therein addressed.”  </w:t>
      </w:r>
      <w:proofErr w:type="gramStart"/>
      <w:r w:rsidR="00376AA0">
        <w:rPr>
          <w:i/>
          <w:szCs w:val="24"/>
          <w:shd w:val="clear" w:color="auto" w:fill="FFFFFF"/>
        </w:rPr>
        <w:t>Id.</w:t>
      </w:r>
      <w:r w:rsidR="00376AA0">
        <w:rPr>
          <w:szCs w:val="24"/>
          <w:shd w:val="clear" w:color="auto" w:fill="FFFFFF"/>
        </w:rPr>
        <w:t xml:space="preserve"> at 22.</w:t>
      </w:r>
      <w:proofErr w:type="gramEnd"/>
      <w:r w:rsidR="00376AA0">
        <w:rPr>
          <w:szCs w:val="24"/>
          <w:shd w:val="clear" w:color="auto" w:fill="FFFFFF"/>
        </w:rPr>
        <w:t xml:space="preserve">  </w:t>
      </w:r>
      <w:r w:rsidR="003C16F3" w:rsidRPr="003C16F3">
        <w:rPr>
          <w:szCs w:val="24"/>
          <w:shd w:val="clear" w:color="auto" w:fill="FFFFFF"/>
        </w:rPr>
        <w:t xml:space="preserve">Thus, in contravention of the plain language of </w:t>
      </w:r>
      <w:r w:rsidR="006C7B9C" w:rsidRPr="00DE78EE">
        <w:t>§</w:t>
      </w:r>
      <w:r w:rsidR="00376AA0">
        <w:t> </w:t>
      </w:r>
      <w:r w:rsidR="006C7B9C" w:rsidRPr="00DE78EE">
        <w:t>482</w:t>
      </w:r>
      <w:r w:rsidRPr="00DE78EE">
        <w:t>(5)</w:t>
      </w:r>
      <w:r w:rsidR="006C7B9C" w:rsidRPr="00DE78EE">
        <w:t xml:space="preserve"> that </w:t>
      </w:r>
      <w:r w:rsidR="00485FF9" w:rsidRPr="00DE78EE">
        <w:t xml:space="preserve">the petition </w:t>
      </w:r>
      <w:r w:rsidRPr="00DE78EE">
        <w:t xml:space="preserve">warning </w:t>
      </w:r>
      <w:r w:rsidR="00485FF9" w:rsidRPr="00DE78EE">
        <w:t xml:space="preserve">“shall be </w:t>
      </w:r>
      <w:r w:rsidRPr="00DE78EE">
        <w:t xml:space="preserve">printed in 12-point </w:t>
      </w:r>
      <w:r w:rsidR="00485FF9" w:rsidRPr="00DE78EE">
        <w:t>type,”</w:t>
      </w:r>
      <w:r w:rsidR="003C16F3" w:rsidRPr="003C16F3">
        <w:rPr>
          <w:szCs w:val="24"/>
          <w:shd w:val="clear" w:color="auto" w:fill="FFFFFF"/>
        </w:rPr>
        <w:t xml:space="preserve"> the </w:t>
      </w:r>
      <w:r w:rsidR="003C16F3" w:rsidRPr="003C16F3">
        <w:rPr>
          <w:i/>
          <w:shd w:val="clear" w:color="auto" w:fill="FFFFFF"/>
        </w:rPr>
        <w:t>Bloomfield</w:t>
      </w:r>
      <w:r w:rsidR="003C16F3" w:rsidRPr="003C16F3">
        <w:rPr>
          <w:szCs w:val="24"/>
          <w:shd w:val="clear" w:color="auto" w:fill="FFFFFF"/>
        </w:rPr>
        <w:t xml:space="preserve"> Court </w:t>
      </w:r>
      <w:r w:rsidR="00376AA0">
        <w:rPr>
          <w:szCs w:val="24"/>
          <w:shd w:val="clear" w:color="auto" w:fill="FFFFFF"/>
        </w:rPr>
        <w:t xml:space="preserve">applied </w:t>
      </w:r>
      <w:bookmarkStart w:id="11" w:name="SR;8464"/>
      <w:bookmarkStart w:id="12" w:name="SR;8470"/>
      <w:bookmarkStart w:id="13" w:name="SR;8471"/>
      <w:bookmarkStart w:id="14" w:name="sp_543_23"/>
      <w:bookmarkStart w:id="15" w:name="SDU_23"/>
      <w:bookmarkStart w:id="16" w:name="citeas((Cite_as:_253_Mich.App._1,_*23,_6"/>
      <w:bookmarkEnd w:id="11"/>
      <w:bookmarkEnd w:id="12"/>
      <w:bookmarkEnd w:id="13"/>
      <w:bookmarkEnd w:id="14"/>
      <w:bookmarkEnd w:id="15"/>
      <w:bookmarkEnd w:id="16"/>
      <w:r w:rsidR="003C16F3" w:rsidRPr="003C16F3">
        <w:rPr>
          <w:rStyle w:val="bestsection"/>
          <w:szCs w:val="24"/>
          <w:shd w:val="clear" w:color="auto" w:fill="FFFFFF"/>
        </w:rPr>
        <w:t xml:space="preserve">the substantial compliance doctrine </w:t>
      </w:r>
      <w:r w:rsidR="00376AA0">
        <w:rPr>
          <w:rStyle w:val="bestsection"/>
          <w:szCs w:val="24"/>
          <w:shd w:val="clear" w:color="auto" w:fill="FFFFFF"/>
        </w:rPr>
        <w:t>“</w:t>
      </w:r>
      <w:r w:rsidR="003C16F3" w:rsidRPr="003C16F3">
        <w:rPr>
          <w:rStyle w:val="bestsection"/>
          <w:szCs w:val="24"/>
          <w:shd w:val="clear" w:color="auto" w:fill="FFFFFF"/>
        </w:rPr>
        <w:t xml:space="preserve">in </w:t>
      </w:r>
      <w:r w:rsidR="003C16F3" w:rsidRPr="003C16F3">
        <w:rPr>
          <w:rStyle w:val="bestsection"/>
          <w:szCs w:val="24"/>
          <w:shd w:val="clear" w:color="auto" w:fill="FFFFFF"/>
        </w:rPr>
        <w:lastRenderedPageBreak/>
        <w:t>this case involving imperfect</w:t>
      </w:r>
      <w:bookmarkStart w:id="17" w:name="SR;8494"/>
      <w:bookmarkEnd w:id="17"/>
      <w:r w:rsidR="00DE78EE">
        <w:rPr>
          <w:rStyle w:val="apple-converted-space"/>
          <w:szCs w:val="24"/>
          <w:shd w:val="clear" w:color="auto" w:fill="FFFFFF"/>
        </w:rPr>
        <w:t xml:space="preserve"> petitions</w:t>
      </w:r>
      <w:r w:rsidR="003C16F3" w:rsidRPr="003C16F3">
        <w:rPr>
          <w:rStyle w:val="bestsection"/>
          <w:szCs w:val="24"/>
          <w:shd w:val="clear" w:color="auto" w:fill="FFFFFF"/>
        </w:rPr>
        <w:t>, absent the Legislature</w:t>
      </w:r>
      <w:r w:rsidR="00376AA0">
        <w:rPr>
          <w:rStyle w:val="bestsection"/>
          <w:szCs w:val="24"/>
          <w:shd w:val="clear" w:color="auto" w:fill="FFFFFF"/>
        </w:rPr>
        <w:t>’</w:t>
      </w:r>
      <w:r w:rsidR="003C16F3" w:rsidRPr="003C16F3">
        <w:rPr>
          <w:rStyle w:val="bestsection"/>
          <w:szCs w:val="24"/>
          <w:shd w:val="clear" w:color="auto" w:fill="FFFFFF"/>
        </w:rPr>
        <w:t>s instruction that a</w:t>
      </w:r>
      <w:bookmarkStart w:id="18" w:name="SR;8501"/>
      <w:bookmarkEnd w:id="18"/>
      <w:r w:rsidR="00DE78EE">
        <w:rPr>
          <w:rStyle w:val="apple-converted-space"/>
          <w:szCs w:val="24"/>
          <w:shd w:val="clear" w:color="auto" w:fill="FFFFFF"/>
        </w:rPr>
        <w:t xml:space="preserve"> petitioned</w:t>
      </w:r>
      <w:r w:rsidR="003C16F3" w:rsidRPr="003C16F3">
        <w:rPr>
          <w:rStyle w:val="bestsection"/>
          <w:szCs w:val="24"/>
          <w:shd w:val="clear" w:color="auto" w:fill="FFFFFF"/>
        </w:rPr>
        <w:t>-for election will be precluded unless the initiating</w:t>
      </w:r>
      <w:bookmarkStart w:id="19" w:name="SR;8510"/>
      <w:bookmarkEnd w:id="19"/>
      <w:r w:rsidR="00DE78EE">
        <w:rPr>
          <w:rStyle w:val="apple-converted-space"/>
          <w:szCs w:val="24"/>
          <w:shd w:val="clear" w:color="auto" w:fill="FFFFFF"/>
        </w:rPr>
        <w:t xml:space="preserve"> petitions </w:t>
      </w:r>
      <w:r w:rsidR="003C16F3" w:rsidRPr="003C16F3">
        <w:rPr>
          <w:rStyle w:val="bestsection"/>
          <w:szCs w:val="24"/>
          <w:shd w:val="clear" w:color="auto" w:fill="FFFFFF"/>
        </w:rPr>
        <w:t xml:space="preserve">exactly match the Michigan Election Law requirements for form and content.”  </w:t>
      </w:r>
      <w:proofErr w:type="gramStart"/>
      <w:r w:rsidR="00376AA0">
        <w:rPr>
          <w:rStyle w:val="bestsection"/>
          <w:i/>
          <w:shd w:val="clear" w:color="auto" w:fill="FFFFFF"/>
        </w:rPr>
        <w:t>Id.</w:t>
      </w:r>
      <w:r w:rsidR="003C16F3" w:rsidRPr="003C16F3">
        <w:rPr>
          <w:rStyle w:val="bestsection"/>
          <w:szCs w:val="24"/>
          <w:shd w:val="clear" w:color="auto" w:fill="FFFFFF"/>
        </w:rPr>
        <w:t xml:space="preserve"> at 23.</w:t>
      </w:r>
      <w:bookmarkStart w:id="20" w:name="SR;8262"/>
      <w:bookmarkStart w:id="21" w:name="SR;8264"/>
      <w:bookmarkEnd w:id="20"/>
      <w:bookmarkEnd w:id="21"/>
      <w:proofErr w:type="gramEnd"/>
    </w:p>
    <w:p w:rsidR="00BE548B" w:rsidRDefault="000C51BD" w:rsidP="00E4656F">
      <w:pPr>
        <w:pStyle w:val="Standard"/>
        <w:spacing w:line="240" w:lineRule="auto"/>
        <w:rPr>
          <w:rStyle w:val="bestsection"/>
          <w:szCs w:val="24"/>
          <w:shd w:val="clear" w:color="auto" w:fill="FFFFFF"/>
        </w:rPr>
      </w:pPr>
      <w:r w:rsidRPr="00376AA0">
        <w:tab/>
      </w:r>
      <w:r w:rsidR="00485FF9" w:rsidRPr="00376AA0">
        <w:t xml:space="preserve">In our judgment, </w:t>
      </w:r>
      <w:r w:rsidR="008C4302" w:rsidRPr="00376AA0">
        <w:rPr>
          <w:i/>
        </w:rPr>
        <w:t>Bloomfield</w:t>
      </w:r>
      <w:r w:rsidR="008C4302" w:rsidRPr="00376AA0">
        <w:t xml:space="preserve"> was wrongly decided because it failed to apply the clear and unambiguous statutory language</w:t>
      </w:r>
      <w:r w:rsidR="00FA0CD1" w:rsidRPr="00376AA0">
        <w:t xml:space="preserve"> that the petition warning language </w:t>
      </w:r>
      <w:r w:rsidR="0064232D">
        <w:t>“</w:t>
      </w:r>
      <w:r w:rsidR="00C149A6" w:rsidRPr="00376AA0">
        <w:rPr>
          <w:i/>
        </w:rPr>
        <w:t>shall</w:t>
      </w:r>
      <w:r w:rsidR="00FA0CD1" w:rsidRPr="00376AA0">
        <w:t xml:space="preserve"> be </w:t>
      </w:r>
      <w:r w:rsidR="0064232D">
        <w:t xml:space="preserve">printed </w:t>
      </w:r>
      <w:r w:rsidR="00FA0CD1" w:rsidRPr="00376AA0">
        <w:t>in 12-point type</w:t>
      </w:r>
      <w:r w:rsidR="003338DB">
        <w:t xml:space="preserve"> immediately above the place for signatures</w:t>
      </w:r>
      <w:r w:rsidR="0064232D">
        <w:t>”</w:t>
      </w:r>
      <w:r w:rsidR="00FA0CD1" w:rsidRPr="00376AA0">
        <w:t xml:space="preserve"> as required by §</w:t>
      </w:r>
      <w:r w:rsidR="00376AA0" w:rsidRPr="00376AA0">
        <w:t> </w:t>
      </w:r>
      <w:r w:rsidR="00FA0CD1" w:rsidRPr="00376AA0">
        <w:t>482(5)</w:t>
      </w:r>
      <w:r w:rsidR="008C4302" w:rsidRPr="00376AA0">
        <w:t xml:space="preserve">.  </w:t>
      </w:r>
      <w:r w:rsidRPr="00376AA0">
        <w:t xml:space="preserve">The Legislature’s use of the word “shall” denotes mandatory conduct, </w:t>
      </w:r>
      <w:r w:rsidR="00371A7C">
        <w:rPr>
          <w:i/>
        </w:rPr>
        <w:t>Manual</w:t>
      </w:r>
      <w:r w:rsidRPr="00376AA0">
        <w:t>, 481 Mich at 647, and a court may not ignore the Legislature’s instruction of mandatory conduct, or make a different policy choice than has already been made by the Legislature</w:t>
      </w:r>
      <w:r w:rsidR="003C0046">
        <w:t xml:space="preserve">, </w:t>
      </w:r>
      <w:r w:rsidR="003C0046">
        <w:rPr>
          <w:i/>
        </w:rPr>
        <w:t>People v McIntire</w:t>
      </w:r>
      <w:r w:rsidR="003C0046">
        <w:t>, 461 Mich 147, 152-</w:t>
      </w:r>
      <w:r w:rsidR="000514AF">
        <w:t>1</w:t>
      </w:r>
      <w:r w:rsidR="003C0046">
        <w:t>53; 599 NW2d 102 (1999) (“</w:t>
      </w:r>
      <w:r w:rsidR="00703675">
        <w:t>[O]</w:t>
      </w:r>
      <w:proofErr w:type="spellStart"/>
      <w:r w:rsidR="003C0046">
        <w:t>ur</w:t>
      </w:r>
      <w:proofErr w:type="spellEnd"/>
      <w:r w:rsidR="003C0046">
        <w:t xml:space="preserve"> judicial ro</w:t>
      </w:r>
      <w:r w:rsidR="00703675">
        <w:t>le</w:t>
      </w:r>
      <w:r w:rsidR="003C0046">
        <w:t xml:space="preserve"> precludes imposing different policy choices than those selected by the </w:t>
      </w:r>
      <w:proofErr w:type="gramStart"/>
      <w:r w:rsidR="003C0046">
        <w:t>Legislature</w:t>
      </w:r>
      <w:r w:rsidR="00703675">
        <w:t> .</w:t>
      </w:r>
      <w:proofErr w:type="gramEnd"/>
      <w:r w:rsidR="00703675">
        <w:t> . . .  When a legislature has unambiguously conveyed its intent in a statute</w:t>
      </w:r>
      <w:proofErr w:type="gramStart"/>
      <w:r w:rsidR="00703675">
        <w:t>, .</w:t>
      </w:r>
      <w:proofErr w:type="gramEnd"/>
      <w:r w:rsidR="00703675">
        <w:t xml:space="preserve"> . . the proper role of a court is simply to </w:t>
      </w:r>
      <w:r w:rsidR="00703675" w:rsidRPr="00703675">
        <w:rPr>
          <w:i/>
        </w:rPr>
        <w:t>apply</w:t>
      </w:r>
      <w:r w:rsidR="00703675">
        <w:t xml:space="preserve"> the terms of the statute . . . .”)</w:t>
      </w:r>
      <w:r w:rsidRPr="00376AA0">
        <w:t>.</w:t>
      </w:r>
      <w:r w:rsidR="00376AA0" w:rsidRPr="00376AA0">
        <w:t xml:space="preserve">  </w:t>
      </w:r>
      <w:r w:rsidRPr="00376AA0">
        <w:t>T</w:t>
      </w:r>
      <w:r w:rsidR="009366BF" w:rsidRPr="00376AA0">
        <w:t xml:space="preserve">he </w:t>
      </w:r>
      <w:r w:rsidR="00C149A6" w:rsidRPr="00376AA0">
        <w:rPr>
          <w:i/>
        </w:rPr>
        <w:t>Bloomfield</w:t>
      </w:r>
      <w:r w:rsidR="009366BF" w:rsidRPr="00376AA0">
        <w:t xml:space="preserve"> Court’s conclusion that </w:t>
      </w:r>
      <w:r w:rsidR="0002561F" w:rsidRPr="00376AA0">
        <w:t>initiating petitions need not “</w:t>
      </w:r>
      <w:r w:rsidR="003C16F3" w:rsidRPr="003C16F3">
        <w:rPr>
          <w:rStyle w:val="bestsection"/>
          <w:szCs w:val="24"/>
          <w:shd w:val="clear" w:color="auto" w:fill="FFFFFF"/>
        </w:rPr>
        <w:t xml:space="preserve">exactly match the Michigan Election Law requirements for form and content” ignored </w:t>
      </w:r>
      <w:r w:rsidR="00BE7315" w:rsidRPr="00376AA0">
        <w:t xml:space="preserve">the Legislature’s use of the term “shall,” a clear expression of its intent that the form of an initiating petition be in </w:t>
      </w:r>
      <w:r w:rsidR="00703675">
        <w:t>a</w:t>
      </w:r>
      <w:r w:rsidR="00BE7315" w:rsidRPr="00376AA0">
        <w:t xml:space="preserve"> specified type</w:t>
      </w:r>
      <w:r w:rsidR="00E92941">
        <w:t>,</w:t>
      </w:r>
      <w:r w:rsidR="00BE7315" w:rsidRPr="00376AA0">
        <w:t xml:space="preserve"> and </w:t>
      </w:r>
      <w:r w:rsidR="003C16F3" w:rsidRPr="003C16F3">
        <w:rPr>
          <w:rStyle w:val="bestsection"/>
          <w:szCs w:val="24"/>
          <w:shd w:val="clear" w:color="auto" w:fill="FFFFFF"/>
        </w:rPr>
        <w:t>constituted an improper failure to recognize and defer to a legislative mandate</w:t>
      </w:r>
      <w:r w:rsidR="00BE548B">
        <w:rPr>
          <w:rStyle w:val="bestsection"/>
          <w:szCs w:val="24"/>
          <w:shd w:val="clear" w:color="auto" w:fill="FFFFFF"/>
        </w:rPr>
        <w:t>.</w:t>
      </w:r>
    </w:p>
    <w:p w:rsidR="00C03B7F" w:rsidRDefault="00FA1D8D" w:rsidP="00E4656F">
      <w:pPr>
        <w:pStyle w:val="Standard"/>
        <w:spacing w:line="240" w:lineRule="auto"/>
      </w:pPr>
      <w:r>
        <w:tab/>
        <w:t xml:space="preserve">In the instant case, the expression of legislative intent is even clearer.  As we earlier mentioned, the Legislature amended § 482(2) in 1965 by striking the language permitting the petition heading to be in </w:t>
      </w:r>
      <w:r w:rsidRPr="00DE254E">
        <w:t>“type of the approximate size set forth”</w:t>
      </w:r>
      <w:r>
        <w:t xml:space="preserve"> and replaced it with the mandatory language, “shall </w:t>
      </w:r>
      <w:proofErr w:type="gramStart"/>
      <w:r>
        <w:t>be .</w:t>
      </w:r>
      <w:proofErr w:type="gramEnd"/>
      <w:r>
        <w:t xml:space="preserve"> . . in </w:t>
      </w:r>
      <w:r w:rsidRPr="00DE254E">
        <w:t>14-point boldface</w:t>
      </w:r>
      <w:r>
        <w:t>d</w:t>
      </w:r>
      <w:r w:rsidRPr="00DE254E">
        <w:t xml:space="preserve"> type</w:t>
      </w:r>
      <w:r>
        <w:t>.</w:t>
      </w:r>
      <w:r w:rsidRPr="00DE254E">
        <w:t>”</w:t>
      </w:r>
      <w:r>
        <w:t xml:space="preserve"> </w:t>
      </w:r>
      <w:r w:rsidRPr="00DE254E">
        <w:t xml:space="preserve"> </w:t>
      </w:r>
      <w:r>
        <w:t xml:space="preserve">The inescapable conclusion to be derived from this amendment is that the Legislature no longer wished to permit heading type of an indefinite size, but </w:t>
      </w:r>
      <w:r w:rsidR="00E16E8E">
        <w:t>instead</w:t>
      </w:r>
      <w:r>
        <w:t xml:space="preserve"> intended to require the heading to be a uniform, standardized</w:t>
      </w:r>
      <w:r w:rsidRPr="002C12EC">
        <w:t xml:space="preserve"> </w:t>
      </w:r>
      <w:r>
        <w:t>dimension – that of 14-point type, or 14/72 inches.</w:t>
      </w:r>
    </w:p>
    <w:p w:rsidR="00780054" w:rsidRDefault="00586996" w:rsidP="00E4656F">
      <w:pPr>
        <w:pStyle w:val="Standard"/>
        <w:spacing w:line="240" w:lineRule="auto"/>
      </w:pPr>
      <w:r>
        <w:tab/>
        <w:t>In sum, u</w:t>
      </w:r>
      <w:r w:rsidR="00E510AC">
        <w:t>nder</w:t>
      </w:r>
      <w:r>
        <w:t xml:space="preserve"> the plain language </w:t>
      </w:r>
      <w:r w:rsidR="00E510AC">
        <w:t xml:space="preserve">of MCL 168.544d, </w:t>
      </w:r>
      <w:r w:rsidR="00D30B4E">
        <w:t xml:space="preserve">petitions being circulated countywide must strictly comply with the form requirements prescribed by the Secretary.  </w:t>
      </w:r>
      <w:r w:rsidR="00D65879">
        <w:t>Although the</w:t>
      </w:r>
      <w:r>
        <w:t xml:space="preserve"> requirements </w:t>
      </w:r>
      <w:r w:rsidR="00D65879">
        <w:t>prescribed</w:t>
      </w:r>
      <w:r>
        <w:t xml:space="preserve"> by the Secretary need only substantially comply with the </w:t>
      </w:r>
      <w:r w:rsidR="00D30B4E">
        <w:t xml:space="preserve">sections </w:t>
      </w:r>
      <w:r w:rsidR="00E510AC">
        <w:t xml:space="preserve">enumerated </w:t>
      </w:r>
      <w:r w:rsidR="00D30B4E">
        <w:t>in §</w:t>
      </w:r>
      <w:r w:rsidR="003C0046">
        <w:t> </w:t>
      </w:r>
      <w:r w:rsidR="00D30B4E">
        <w:t>544d</w:t>
      </w:r>
      <w:r w:rsidR="00D65879">
        <w:t xml:space="preserve">, in this instance, the Secretary’s prescribed requirements are exactly </w:t>
      </w:r>
      <w:r w:rsidR="00D30B4E">
        <w:t>as the form requirements</w:t>
      </w:r>
      <w:r w:rsidR="00D65879">
        <w:t xml:space="preserve"> mandated by §</w:t>
      </w:r>
      <w:r w:rsidR="003C0046">
        <w:t> </w:t>
      </w:r>
      <w:r w:rsidR="00D65879">
        <w:t>482</w:t>
      </w:r>
      <w:r w:rsidR="00E510AC">
        <w:t>.</w:t>
      </w:r>
      <w:r>
        <w:t xml:space="preserve">  </w:t>
      </w:r>
      <w:r w:rsidR="00D30B4E">
        <w:t>Thus, but for</w:t>
      </w:r>
      <w:r w:rsidR="00C1255B">
        <w:t xml:space="preserve"> MCR 7.215(J)(1)</w:t>
      </w:r>
      <w:r w:rsidR="005F0050">
        <w:t>,</w:t>
      </w:r>
      <w:r w:rsidR="00C1255B">
        <w:t xml:space="preserve"> which requires us to follow the holding in</w:t>
      </w:r>
      <w:r w:rsidR="00D30B4E">
        <w:t xml:space="preserve"> </w:t>
      </w:r>
      <w:r w:rsidR="00D30B4E" w:rsidRPr="00D30B4E">
        <w:rPr>
          <w:i/>
        </w:rPr>
        <w:t>Bloomfield</w:t>
      </w:r>
      <w:r w:rsidR="00D30B4E">
        <w:t>, we would conclude that the petition heading is fatally defective, that plaintiff has no clear legal right to certification of the referendum for placement on the November 2012 ballot, and that the Board is mandated to reject the petitions as invalid.</w:t>
      </w:r>
    </w:p>
    <w:p w:rsidR="007713D1" w:rsidRDefault="001B3601" w:rsidP="00E4656F">
      <w:pPr>
        <w:pStyle w:val="Standard"/>
        <w:spacing w:line="240" w:lineRule="auto"/>
        <w:jc w:val="center"/>
      </w:pPr>
      <w:r>
        <w:t>B</w:t>
      </w:r>
    </w:p>
    <w:p w:rsidR="00E53014" w:rsidRDefault="00E53014" w:rsidP="00E4656F">
      <w:pPr>
        <w:pStyle w:val="Standard"/>
        <w:spacing w:line="240" w:lineRule="auto"/>
      </w:pPr>
      <w:r>
        <w:tab/>
      </w:r>
      <w:proofErr w:type="spellStart"/>
      <w:r>
        <w:t>CFR</w:t>
      </w:r>
      <w:proofErr w:type="spellEnd"/>
      <w:r>
        <w:t xml:space="preserve"> </w:t>
      </w:r>
      <w:r w:rsidR="00664585">
        <w:t xml:space="preserve">also </w:t>
      </w:r>
      <w:r>
        <w:t xml:space="preserve">argues that the </w:t>
      </w:r>
      <w:r w:rsidR="00664585">
        <w:t xml:space="preserve">summary in </w:t>
      </w:r>
      <w:r w:rsidR="0045105F">
        <w:t xml:space="preserve">plaintiff’s referendum </w:t>
      </w:r>
      <w:r w:rsidR="00664585">
        <w:t>petition</w:t>
      </w:r>
      <w:r w:rsidR="00703675">
        <w:t xml:space="preserve"> </w:t>
      </w:r>
      <w:r>
        <w:t xml:space="preserve">is incomplete and misleading </w:t>
      </w:r>
      <w:r w:rsidR="0045105F">
        <w:t>and that</w:t>
      </w:r>
      <w:r w:rsidR="00664585">
        <w:t>,</w:t>
      </w:r>
      <w:r w:rsidR="0045105F">
        <w:t xml:space="preserve"> accordingly, </w:t>
      </w:r>
      <w:r>
        <w:t xml:space="preserve">the Board </w:t>
      </w:r>
      <w:r w:rsidR="0045105F">
        <w:t>was required to deny certification of</w:t>
      </w:r>
      <w:r>
        <w:t xml:space="preserve"> the petition.  We disagree.</w:t>
      </w:r>
    </w:p>
    <w:p w:rsidR="00E53014" w:rsidRDefault="00E53014" w:rsidP="00E4656F">
      <w:pPr>
        <w:pStyle w:val="Standard"/>
        <w:spacing w:line="240" w:lineRule="auto"/>
      </w:pPr>
      <w:r>
        <w:tab/>
      </w:r>
      <w:r w:rsidR="0045105F">
        <w:t xml:space="preserve">The Secretary’s January 2011 memorandum prescribed that the full text of the affected legislation must appear on </w:t>
      </w:r>
      <w:r>
        <w:t>a referendum petition.  However,</w:t>
      </w:r>
    </w:p>
    <w:p w:rsidR="0045105F" w:rsidRDefault="00E53014" w:rsidP="00E4656F">
      <w:pPr>
        <w:pStyle w:val="BlockText"/>
      </w:pPr>
      <w:r>
        <w:t>[</w:t>
      </w:r>
      <w:proofErr w:type="spellStart"/>
      <w:r>
        <w:t>i</w:t>
      </w:r>
      <w:proofErr w:type="spellEnd"/>
      <w:r>
        <w:t xml:space="preserve">]f there is not sufficient space at the top of the signature side of the petition sheet to print the legislation which would be affected by the referendum, the </w:t>
      </w:r>
      <w:r>
        <w:lastRenderedPageBreak/>
        <w:t>introduction shall be followed by a brief synopsis of the legislation involved and reference shall be made to the reverse side of the sheet for the full text of the legislation.  The full text of the legislation which would be affected by the referendum shall appear on the reverse side of the petition sheet after an introduction which identifies the legislation involved.</w:t>
      </w:r>
    </w:p>
    <w:p w:rsidR="00107906" w:rsidRDefault="00E53014" w:rsidP="00E4656F">
      <w:pPr>
        <w:pStyle w:val="Standard"/>
        <w:spacing w:line="240" w:lineRule="auto"/>
      </w:pPr>
      <w:r>
        <w:tab/>
      </w:r>
      <w:r w:rsidR="0045105F">
        <w:t>The brief synopsis provided by plaintiff on the petition states:</w:t>
      </w:r>
    </w:p>
    <w:p w:rsidR="0045105F" w:rsidRPr="002F286F" w:rsidRDefault="0045105F" w:rsidP="00E4656F">
      <w:pPr>
        <w:pStyle w:val="BlockText"/>
      </w:pPr>
      <w:r>
        <w:tab/>
        <w:t>A PETITION for a referendum election to repeal Public Act 4 of 2011, which allows the governor to declare a local government or school district in receivership and appoint an emergency manger to take control with the following powers, among others:  to assume the powers of local elected officials; to take control of revenue and spending; to terminate, modify and renegotiate contracts; to refuse to bargain with employee representatives; to take control of employee pension funds under certain circumstances; and with the governor’s approval, to sell public assets or dissolve a city, township or county.</w:t>
      </w:r>
    </w:p>
    <w:p w:rsidR="00107906" w:rsidRDefault="00213F8D" w:rsidP="00E4656F">
      <w:pPr>
        <w:pStyle w:val="Standard"/>
        <w:spacing w:line="240" w:lineRule="auto"/>
      </w:pPr>
      <w:r>
        <w:tab/>
      </w:r>
      <w:r w:rsidR="0045105F">
        <w:t xml:space="preserve">We conclude that the synopsis complies with the Secretary’s requirements.  The summary </w:t>
      </w:r>
      <w:r w:rsidR="00830ADD">
        <w:t xml:space="preserve">accurately </w:t>
      </w:r>
      <w:r w:rsidR="0045105F">
        <w:t xml:space="preserve">states that the emergency manager has particular powers.  </w:t>
      </w:r>
      <w:r w:rsidR="00830ADD">
        <w:t xml:space="preserve">Contrary to </w:t>
      </w:r>
      <w:proofErr w:type="spellStart"/>
      <w:r w:rsidR="00830ADD">
        <w:t>CFR’s</w:t>
      </w:r>
      <w:proofErr w:type="spellEnd"/>
      <w:r w:rsidR="00830ADD">
        <w:t xml:space="preserve"> contention, the summary</w:t>
      </w:r>
      <w:r w:rsidR="0045105F">
        <w:t xml:space="preserve"> does not state that the emergency manager will exercise all of those powers, </w:t>
      </w:r>
      <w:r w:rsidR="00830ADD">
        <w:t>or</w:t>
      </w:r>
      <w:r w:rsidR="0045105F">
        <w:t xml:space="preserve"> suggest that the emergency manager will </w:t>
      </w:r>
      <w:r w:rsidR="00830ADD">
        <w:t>exercise the granted powers</w:t>
      </w:r>
      <w:r w:rsidR="0045105F">
        <w:t xml:space="preserve"> on a whim</w:t>
      </w:r>
      <w:r w:rsidR="00292151">
        <w:t xml:space="preserve">.  </w:t>
      </w:r>
      <w:proofErr w:type="spellStart"/>
      <w:r w:rsidR="00E53014">
        <w:t>CFR</w:t>
      </w:r>
      <w:r w:rsidR="00830ADD">
        <w:t>’s</w:t>
      </w:r>
      <w:proofErr w:type="spellEnd"/>
      <w:r w:rsidR="00E53014">
        <w:t xml:space="preserve"> </w:t>
      </w:r>
      <w:r w:rsidR="00830ADD">
        <w:t>argument</w:t>
      </w:r>
      <w:r w:rsidR="00E53014">
        <w:t xml:space="preserve"> that the language </w:t>
      </w:r>
      <w:r w:rsidR="00830ADD">
        <w:t>of a referendum</w:t>
      </w:r>
      <w:r w:rsidR="00E53014">
        <w:t xml:space="preserve"> </w:t>
      </w:r>
      <w:r w:rsidR="00E53014" w:rsidRPr="00A96AC1">
        <w:rPr>
          <w:i/>
        </w:rPr>
        <w:t>petition</w:t>
      </w:r>
      <w:r w:rsidR="00E53014">
        <w:t xml:space="preserve"> must meet similar requirements for the </w:t>
      </w:r>
      <w:r w:rsidR="00E53014" w:rsidRPr="00A96AC1">
        <w:rPr>
          <w:i/>
        </w:rPr>
        <w:t>ballot</w:t>
      </w:r>
      <w:r w:rsidR="00E53014">
        <w:t xml:space="preserve"> language used for constitutional amendments</w:t>
      </w:r>
      <w:r w:rsidR="00830ADD">
        <w:t xml:space="preserve"> is misplaced</w:t>
      </w:r>
      <w:r w:rsidR="00E53014">
        <w:t xml:space="preserve">.  </w:t>
      </w:r>
      <w:r w:rsidR="00830ADD">
        <w:t>T</w:t>
      </w:r>
      <w:r w:rsidR="00E53014">
        <w:t xml:space="preserve">here is nothing in the constitution or in the statutory scheme that makes this connection.  The constitution requires the </w:t>
      </w:r>
      <w:r w:rsidR="00E53014" w:rsidRPr="00A96AC1">
        <w:rPr>
          <w:i/>
        </w:rPr>
        <w:t>ballot</w:t>
      </w:r>
      <w:r w:rsidR="00E53014">
        <w:t xml:space="preserve"> language for constitutional amendments to</w:t>
      </w:r>
    </w:p>
    <w:p w:rsidR="00E53014" w:rsidRDefault="00E53014" w:rsidP="00E4656F">
      <w:pPr>
        <w:tabs>
          <w:tab w:val="left" w:pos="720"/>
        </w:tabs>
        <w:spacing w:after="240"/>
        <w:ind w:left="720" w:right="720"/>
      </w:pPr>
      <w:proofErr w:type="gramStart"/>
      <w:r>
        <w:t>contain</w:t>
      </w:r>
      <w:proofErr w:type="gramEnd"/>
      <w:r>
        <w:t xml:space="preserve"> a statement of the purpose of the proposed amendment, expressed in not more than 100 words, exclusive of caption.  Such statement of purpose and caption shall be prepared by the person authorized by law, and shall consist of a true and impartial statement of the purpose of the amendment in such language as shall create no prejudice for or against the proposed amendment.  </w:t>
      </w:r>
      <w:proofErr w:type="gramStart"/>
      <w:r>
        <w:t>[Const 1963, art 12, § 2.]</w:t>
      </w:r>
      <w:proofErr w:type="gramEnd"/>
    </w:p>
    <w:p w:rsidR="00E53014" w:rsidRPr="002F286F" w:rsidRDefault="00E53014" w:rsidP="00E4656F">
      <w:pPr>
        <w:pStyle w:val="Standard"/>
        <w:spacing w:line="240" w:lineRule="auto"/>
      </w:pPr>
      <w:r>
        <w:t xml:space="preserve">Notably, the constitution does not identify any such requirements for the </w:t>
      </w:r>
      <w:r w:rsidRPr="00A96AC1">
        <w:rPr>
          <w:i/>
        </w:rPr>
        <w:t>petition</w:t>
      </w:r>
      <w:r>
        <w:t xml:space="preserve"> language for a constitutional amendment.  Instead, the constitution provides that “[a]</w:t>
      </w:r>
      <w:proofErr w:type="spellStart"/>
      <w:r>
        <w:t>ny</w:t>
      </w:r>
      <w:proofErr w:type="spellEnd"/>
      <w:r>
        <w:t xml:space="preserve"> such </w:t>
      </w:r>
      <w:r w:rsidRPr="0044377A">
        <w:rPr>
          <w:i/>
        </w:rPr>
        <w:t>petition</w:t>
      </w:r>
      <w:r>
        <w:t xml:space="preserve"> shall be in the form, and shall be signed and circulated in such manner, as prescribed by law.”  Const 1963, art 12, § 2 (emphasis added).  Therefore, </w:t>
      </w:r>
      <w:proofErr w:type="spellStart"/>
      <w:r>
        <w:t>CFR’s</w:t>
      </w:r>
      <w:proofErr w:type="spellEnd"/>
      <w:r>
        <w:t xml:space="preserve"> argument that the “true and impartial” reference in the constitution applies to petition language is not persuasive.</w:t>
      </w:r>
    </w:p>
    <w:p w:rsidR="00107906" w:rsidRDefault="00703675" w:rsidP="00E4656F">
      <w:pPr>
        <w:pStyle w:val="Standard"/>
        <w:spacing w:line="240" w:lineRule="auto"/>
      </w:pPr>
      <w:r>
        <w:tab/>
      </w:r>
      <w:proofErr w:type="spellStart"/>
      <w:r w:rsidR="00E53014">
        <w:t>CFR</w:t>
      </w:r>
      <w:proofErr w:type="spellEnd"/>
      <w:r w:rsidR="00E53014">
        <w:t xml:space="preserve"> does not contend that the emergency manager’s duties summarized </w:t>
      </w:r>
      <w:r w:rsidR="00830ADD">
        <w:t xml:space="preserve">in the petition </w:t>
      </w:r>
      <w:r w:rsidR="00E53014">
        <w:t xml:space="preserve">are not within the emergency manager’s powers.  Instead, it argues that certain conditions must be present before the emergency manager may exercise those powers.  Where the summary does not misstate the powers of the emergency manager under the Act, a finding that the synopsis is adequate must follow.  See </w:t>
      </w:r>
      <w:r w:rsidR="00E53014">
        <w:rPr>
          <w:i/>
        </w:rPr>
        <w:t xml:space="preserve">Coalition to Defend Affirmative Action &amp; Integration v </w:t>
      </w:r>
      <w:proofErr w:type="spellStart"/>
      <w:r w:rsidR="00E53014">
        <w:rPr>
          <w:i/>
        </w:rPr>
        <w:t>Bd</w:t>
      </w:r>
      <w:proofErr w:type="spellEnd"/>
      <w:r w:rsidR="00E53014">
        <w:rPr>
          <w:i/>
        </w:rPr>
        <w:t xml:space="preserve"> of Canvassers</w:t>
      </w:r>
      <w:r w:rsidR="00E53014">
        <w:t>, 262 Mich App 395, 406; 686 NW2d 287 (2004) (finding that petition language was not “propaganda” or misleading because the summaries did not introduce anything that was not found in the language of the proposed amendment).</w:t>
      </w:r>
    </w:p>
    <w:p w:rsidR="00107906" w:rsidRDefault="001B3601" w:rsidP="00E4656F">
      <w:pPr>
        <w:pStyle w:val="Standard"/>
        <w:spacing w:line="240" w:lineRule="auto"/>
        <w:jc w:val="center"/>
      </w:pPr>
      <w:r>
        <w:lastRenderedPageBreak/>
        <w:t>C</w:t>
      </w:r>
    </w:p>
    <w:p w:rsidR="00986139" w:rsidRDefault="00E53014" w:rsidP="00E4656F">
      <w:pPr>
        <w:pStyle w:val="Standard"/>
        <w:spacing w:line="240" w:lineRule="auto"/>
      </w:pPr>
      <w:r>
        <w:tab/>
      </w:r>
      <w:proofErr w:type="spellStart"/>
      <w:r>
        <w:t>CFR</w:t>
      </w:r>
      <w:proofErr w:type="spellEnd"/>
      <w:r>
        <w:t xml:space="preserve"> next argues that the petition is defective because the petition did not republish the</w:t>
      </w:r>
      <w:r w:rsidR="00830ADD">
        <w:t xml:space="preserve"> prior Emergency Manager Act, P</w:t>
      </w:r>
      <w:r w:rsidR="00986139">
        <w:t xml:space="preserve">ublic </w:t>
      </w:r>
      <w:r w:rsidR="00830ADD">
        <w:t>A</w:t>
      </w:r>
      <w:r w:rsidR="00986139">
        <w:t>ct</w:t>
      </w:r>
      <w:r w:rsidR="00830ADD">
        <w:t xml:space="preserve"> 72</w:t>
      </w:r>
      <w:r w:rsidR="00986139">
        <w:t xml:space="preserve"> of 1990</w:t>
      </w:r>
      <w:r w:rsidR="00830ADD">
        <w:t xml:space="preserve"> (“PA 72”)</w:t>
      </w:r>
      <w:r>
        <w:t xml:space="preserve">.  </w:t>
      </w:r>
      <w:r w:rsidR="00830ADD">
        <w:t>We disagree.</w:t>
      </w:r>
    </w:p>
    <w:p w:rsidR="00107906" w:rsidRDefault="00B24EEC" w:rsidP="00E4656F">
      <w:pPr>
        <w:pStyle w:val="Standard"/>
        <w:spacing w:line="240" w:lineRule="auto"/>
      </w:pPr>
      <w:r>
        <w:tab/>
      </w:r>
      <w:proofErr w:type="spellStart"/>
      <w:r w:rsidR="00830ADD">
        <w:t>CFR</w:t>
      </w:r>
      <w:proofErr w:type="spellEnd"/>
      <w:r w:rsidR="00830ADD">
        <w:t xml:space="preserve"> contends that because </w:t>
      </w:r>
      <w:r w:rsidR="00E53014">
        <w:t xml:space="preserve">2011 PA 4, the legislation at issue in the referendum, repealed </w:t>
      </w:r>
      <w:r w:rsidR="00830ADD">
        <w:t>PA 72</w:t>
      </w:r>
      <w:r w:rsidR="00986139">
        <w:t>, PA 72 would govern in the event of the suspension or referendum of PA 4, and that given this impact of the referendum, PA 72 was required to be published along with PA 4.  In asserting this view,</w:t>
      </w:r>
      <w:r w:rsidR="00292151">
        <w:t xml:space="preserve"> </w:t>
      </w:r>
      <w:proofErr w:type="spellStart"/>
      <w:r w:rsidR="00E53014">
        <w:t>CFR</w:t>
      </w:r>
      <w:proofErr w:type="spellEnd"/>
      <w:r w:rsidR="00E53014">
        <w:t xml:space="preserve"> relies on the following provision in the </w:t>
      </w:r>
      <w:r w:rsidR="00986139">
        <w:t xml:space="preserve">format prescribed by the </w:t>
      </w:r>
      <w:r w:rsidR="00E53014">
        <w:t xml:space="preserve">Secretary’s </w:t>
      </w:r>
      <w:r w:rsidR="00986139">
        <w:t>January 2011 memorandum</w:t>
      </w:r>
      <w:r w:rsidR="00E53014">
        <w:t>:</w:t>
      </w:r>
    </w:p>
    <w:p w:rsidR="00E53014" w:rsidRDefault="00E53014" w:rsidP="00E4656F">
      <w:pPr>
        <w:tabs>
          <w:tab w:val="left" w:pos="720"/>
        </w:tabs>
        <w:spacing w:after="240"/>
        <w:ind w:left="720" w:right="720"/>
      </w:pPr>
      <w:r>
        <w:tab/>
        <w:t>If the petition offers a legislative proposal or a referendum of legislation which involves alterations to existing provisions of Michigan law, the alterations may be presented by showing any language that would be added to the provision or provisions in capital letters and any language that would be deleted from the provision or provisions struck out with a line.</w:t>
      </w:r>
    </w:p>
    <w:p w:rsidR="00107906" w:rsidRDefault="00E53014" w:rsidP="00E4656F">
      <w:pPr>
        <w:pStyle w:val="Standard"/>
        <w:spacing w:line="240" w:lineRule="auto"/>
      </w:pPr>
      <w:r>
        <w:tab/>
      </w:r>
      <w:proofErr w:type="spellStart"/>
      <w:r w:rsidR="00986139">
        <w:t>CFR’s</w:t>
      </w:r>
      <w:proofErr w:type="spellEnd"/>
      <w:r w:rsidR="00986139">
        <w:t xml:space="preserve"> reliance on t</w:t>
      </w:r>
      <w:r>
        <w:t xml:space="preserve">his section is </w:t>
      </w:r>
      <w:r w:rsidR="00986139">
        <w:t xml:space="preserve">misplaced.  </w:t>
      </w:r>
      <w:r>
        <w:t xml:space="preserve">First, </w:t>
      </w:r>
      <w:r w:rsidR="00986139">
        <w:t>PA 72</w:t>
      </w:r>
      <w:r>
        <w:t xml:space="preserve"> is not an “</w:t>
      </w:r>
      <w:r w:rsidRPr="00D97463">
        <w:rPr>
          <w:i/>
        </w:rPr>
        <w:t>existing</w:t>
      </w:r>
      <w:r>
        <w:t xml:space="preserve"> </w:t>
      </w:r>
      <w:proofErr w:type="gramStart"/>
      <w:r>
        <w:t>provision[</w:t>
      </w:r>
      <w:proofErr w:type="gramEnd"/>
      <w:r>
        <w:t xml:space="preserve">] of Michigan law” </w:t>
      </w:r>
      <w:r w:rsidR="00986139">
        <w:t>because it</w:t>
      </w:r>
      <w:r>
        <w:t xml:space="preserve"> was repealed once PA 4 became effective in March 2011.  Second, the Secretary’s </w:t>
      </w:r>
      <w:r w:rsidR="00986139">
        <w:t>prescribed format states that</w:t>
      </w:r>
      <w:r>
        <w:t xml:space="preserve"> such alterations to legislation </w:t>
      </w:r>
      <w:r w:rsidR="00986139" w:rsidRPr="00986139">
        <w:rPr>
          <w:i/>
        </w:rPr>
        <w:t>may</w:t>
      </w:r>
      <w:r w:rsidR="00986139">
        <w:t xml:space="preserve"> </w:t>
      </w:r>
      <w:r>
        <w:t xml:space="preserve">be shown via strike-out and capital letters.  The use of the word “may” designates a permissive provision.  </w:t>
      </w:r>
      <w:proofErr w:type="gramStart"/>
      <w:r w:rsidRPr="002E2FDA">
        <w:rPr>
          <w:i/>
        </w:rPr>
        <w:t>Jordan v Jarvis</w:t>
      </w:r>
      <w:r>
        <w:t>, 200 Mich App 445, 451; 505 NW2d 279 (1993).</w:t>
      </w:r>
      <w:proofErr w:type="gramEnd"/>
      <w:r>
        <w:t xml:space="preserve">  Therefore, </w:t>
      </w:r>
      <w:proofErr w:type="spellStart"/>
      <w:r>
        <w:t>CFR’s</w:t>
      </w:r>
      <w:proofErr w:type="spellEnd"/>
      <w:r>
        <w:t xml:space="preserve"> </w:t>
      </w:r>
      <w:r w:rsidR="00986139">
        <w:t>challenge on the basis that PA 72 was not published must be rejected</w:t>
      </w:r>
      <w:r>
        <w:t>.</w:t>
      </w:r>
    </w:p>
    <w:p w:rsidR="00107906" w:rsidRDefault="005B1889" w:rsidP="00E4656F">
      <w:pPr>
        <w:pStyle w:val="Standard"/>
        <w:spacing w:line="240" w:lineRule="auto"/>
        <w:jc w:val="center"/>
      </w:pPr>
      <w:r>
        <w:t>D</w:t>
      </w:r>
    </w:p>
    <w:p w:rsidR="00E53014" w:rsidRPr="003F32DE" w:rsidRDefault="00E53014" w:rsidP="00E4656F">
      <w:pPr>
        <w:pStyle w:val="Standard"/>
        <w:spacing w:line="240" w:lineRule="auto"/>
      </w:pPr>
      <w:r w:rsidRPr="003F32DE">
        <w:tab/>
      </w:r>
      <w:proofErr w:type="spellStart"/>
      <w:r w:rsidRPr="003F32DE">
        <w:t>CFR</w:t>
      </w:r>
      <w:proofErr w:type="spellEnd"/>
      <w:r w:rsidRPr="003F32DE">
        <w:t xml:space="preserve"> next argues that the petitions are defective because they failed to republish the effective date of </w:t>
      </w:r>
      <w:r>
        <w:t xml:space="preserve">2011 </w:t>
      </w:r>
      <w:r w:rsidRPr="003F32DE">
        <w:t xml:space="preserve">PA 4.  </w:t>
      </w:r>
      <w:proofErr w:type="spellStart"/>
      <w:r w:rsidRPr="003F32DE">
        <w:t>CFR</w:t>
      </w:r>
      <w:proofErr w:type="spellEnd"/>
      <w:r w:rsidRPr="003F32DE">
        <w:t xml:space="preserve"> claims that</w:t>
      </w:r>
      <w:r w:rsidR="00250B7E">
        <w:t xml:space="preserve">, although </w:t>
      </w:r>
      <w:r w:rsidR="00250B7E" w:rsidRPr="003F32DE">
        <w:t xml:space="preserve">the petition correctly reflects that PA 4 was given immediate effect, </w:t>
      </w:r>
      <w:r w:rsidRPr="003F32DE">
        <w:t>“[p]</w:t>
      </w:r>
      <w:proofErr w:type="spellStart"/>
      <w:r w:rsidRPr="003F32DE">
        <w:t>laintiff’s</w:t>
      </w:r>
      <w:proofErr w:type="spellEnd"/>
      <w:r w:rsidRPr="003F32DE">
        <w:t xml:space="preserve"> failure to identify the Effective Date and otherwise comply with the requirement to fully republish the act sought to be repealed is a fatal error, warranting denial or certification as to form.”  </w:t>
      </w:r>
      <w:r w:rsidR="00250B7E">
        <w:t xml:space="preserve">Because </w:t>
      </w:r>
      <w:proofErr w:type="spellStart"/>
      <w:r w:rsidRPr="003F32DE">
        <w:t>CFR</w:t>
      </w:r>
      <w:proofErr w:type="spellEnd"/>
      <w:r w:rsidRPr="003F32DE">
        <w:t xml:space="preserve"> failed to provide any authority</w:t>
      </w:r>
      <w:r w:rsidR="00250B7E">
        <w:t xml:space="preserve"> to support its claim</w:t>
      </w:r>
      <w:r w:rsidRPr="003F32DE">
        <w:t xml:space="preserve"> that an act’s effective date </w:t>
      </w:r>
      <w:r w:rsidR="00250B7E">
        <w:t>is</w:t>
      </w:r>
      <w:r w:rsidR="00250B7E" w:rsidRPr="003F32DE">
        <w:t xml:space="preserve"> </w:t>
      </w:r>
      <w:r w:rsidRPr="003F32DE">
        <w:t xml:space="preserve">part of the act itself, and therefore </w:t>
      </w:r>
      <w:r w:rsidR="00250B7E">
        <w:t>must also</w:t>
      </w:r>
      <w:r w:rsidRPr="003F32DE">
        <w:t xml:space="preserve"> be published in a referendum petition</w:t>
      </w:r>
      <w:r w:rsidR="00250B7E">
        <w:t>, this issue is abandoned</w:t>
      </w:r>
      <w:r w:rsidRPr="003F32DE">
        <w:t xml:space="preserve">.  </w:t>
      </w:r>
      <w:proofErr w:type="spellStart"/>
      <w:proofErr w:type="gramStart"/>
      <w:r w:rsidRPr="003F32DE">
        <w:rPr>
          <w:i/>
        </w:rPr>
        <w:t>DeGeorge</w:t>
      </w:r>
      <w:proofErr w:type="spellEnd"/>
      <w:r w:rsidRPr="003F32DE">
        <w:rPr>
          <w:i/>
        </w:rPr>
        <w:t xml:space="preserve"> v </w:t>
      </w:r>
      <w:proofErr w:type="spellStart"/>
      <w:r w:rsidRPr="003F32DE">
        <w:rPr>
          <w:i/>
        </w:rPr>
        <w:t>Warheit</w:t>
      </w:r>
      <w:proofErr w:type="spellEnd"/>
      <w:r w:rsidRPr="003F32DE">
        <w:t>, 276 Mich App 587, 596; 741 NW2d 384 (2007)</w:t>
      </w:r>
      <w:r w:rsidR="00250B7E">
        <w:t>.</w:t>
      </w:r>
      <w:proofErr w:type="gramEnd"/>
      <w:r w:rsidR="00250B7E">
        <w:t xml:space="preserve">  Moreover</w:t>
      </w:r>
      <w:r w:rsidRPr="003F32DE">
        <w:t xml:space="preserve">, </w:t>
      </w:r>
      <w:r>
        <w:t>we have</w:t>
      </w:r>
      <w:r w:rsidRPr="003F32DE">
        <w:t xml:space="preserve"> failed to locate any authority that requires an act’s effective date to be published in a referendum petition.  As a result, </w:t>
      </w:r>
      <w:proofErr w:type="spellStart"/>
      <w:r w:rsidRPr="003F32DE">
        <w:t>CFR’s</w:t>
      </w:r>
      <w:proofErr w:type="spellEnd"/>
      <w:r w:rsidRPr="003F32DE">
        <w:t xml:space="preserve"> argument fail</w:t>
      </w:r>
      <w:r>
        <w:t>s</w:t>
      </w:r>
      <w:r w:rsidRPr="003F32DE">
        <w:t>.</w:t>
      </w:r>
    </w:p>
    <w:p w:rsidR="00107906" w:rsidRDefault="001B3601" w:rsidP="00E4656F">
      <w:pPr>
        <w:pStyle w:val="Standard"/>
        <w:spacing w:line="240" w:lineRule="auto"/>
        <w:jc w:val="center"/>
      </w:pPr>
      <w:r>
        <w:t>E</w:t>
      </w:r>
    </w:p>
    <w:p w:rsidR="00E53014" w:rsidRDefault="00E53014" w:rsidP="00E4656F">
      <w:pPr>
        <w:pStyle w:val="Standard"/>
        <w:spacing w:line="240" w:lineRule="auto"/>
      </w:pPr>
      <w:r>
        <w:tab/>
      </w:r>
      <w:r w:rsidR="00040BB9">
        <w:t xml:space="preserve">Finally, </w:t>
      </w:r>
      <w:proofErr w:type="spellStart"/>
      <w:r>
        <w:t>CFR</w:t>
      </w:r>
      <w:proofErr w:type="spellEnd"/>
      <w:r>
        <w:t xml:space="preserve"> argues that the petitions should not be certified because they also failed to publish the contents of Senate Bill 158 (“SB 158”).  We disagree.</w:t>
      </w:r>
    </w:p>
    <w:p w:rsidR="00970B4A" w:rsidRDefault="00970B4A" w:rsidP="00E4656F">
      <w:pPr>
        <w:pStyle w:val="Standard"/>
        <w:spacing w:line="240" w:lineRule="auto"/>
      </w:pPr>
      <w:r>
        <w:tab/>
        <w:t>2011 PA 4 (Enrolled House Bill 4214) was tie-barred to 2011 PA 9 (Enrolled SB 158).  As enacted, PA 4 stated in part that “[t]his act does not take effect unless Senate Bill No. 158 of the 96</w:t>
      </w:r>
      <w:r w:rsidRPr="00780D01">
        <w:t>th</w:t>
      </w:r>
      <w:r>
        <w:t xml:space="preserve"> Legislature is enacted into law.”  Likewise, SB 158 as enacted stated in part that “[t]his amendatory act does not take effect unless House Bill No. 4214 of the 96</w:t>
      </w:r>
      <w:r w:rsidRPr="00690545">
        <w:t>th</w:t>
      </w:r>
      <w:r>
        <w:t xml:space="preserve"> Legislature is enacted into law.”  </w:t>
      </w:r>
      <w:proofErr w:type="spellStart"/>
      <w:r>
        <w:t>CFR</w:t>
      </w:r>
      <w:proofErr w:type="spellEnd"/>
      <w:r>
        <w:t xml:space="preserve"> claims that the tie-bar of these two bills requires PA 9 to also have been published on the referendum petition.  </w:t>
      </w:r>
      <w:proofErr w:type="spellStart"/>
      <w:r>
        <w:t>CFR</w:t>
      </w:r>
      <w:proofErr w:type="spellEnd"/>
      <w:r>
        <w:t xml:space="preserve"> failed to cite any authority in support of this </w:t>
      </w:r>
      <w:r>
        <w:lastRenderedPageBreak/>
        <w:t xml:space="preserve">contention.  Accordingly, we consider the issue abandoned.  </w:t>
      </w:r>
      <w:r w:rsidR="00EE3762">
        <w:rPr>
          <w:i/>
        </w:rPr>
        <w:t>Id.</w:t>
      </w:r>
      <w:r>
        <w:t xml:space="preserve">  Even if we were to consider the argument, however, we conclude that the argument lacks merit.  </w:t>
      </w:r>
      <w:r w:rsidR="001F5907">
        <w:t>T</w:t>
      </w:r>
      <w:r>
        <w:t>he Secretary</w:t>
      </w:r>
      <w:r w:rsidR="001F5907">
        <w:t>’s June 2011 memorandum</w:t>
      </w:r>
      <w:r>
        <w:t xml:space="preserve"> requires “[t]he full text of </w:t>
      </w:r>
      <w:r w:rsidRPr="002D52A9">
        <w:rPr>
          <w:i/>
        </w:rPr>
        <w:t>the</w:t>
      </w:r>
      <w:r>
        <w:t xml:space="preserve"> legislation which would be affected by the referendum” to appear in the petition.  </w:t>
      </w:r>
      <w:r w:rsidR="00535AE9">
        <w:t>(</w:t>
      </w:r>
      <w:r>
        <w:t>Emphasis added.</w:t>
      </w:r>
      <w:r w:rsidR="00535AE9">
        <w:t>)</w:t>
      </w:r>
      <w:r>
        <w:t xml:space="preserve">  Notably, publication of “the” legislation affected, not “any” or “all” legislation affected, is required.  The plain reading of the Secretary’s requirement in the context of a referendum petition establishes that “the” refers only to the subject of the referendum, in this case PA 4.</w:t>
      </w:r>
    </w:p>
    <w:p w:rsidR="00970B4A" w:rsidRDefault="00535AE9" w:rsidP="00E4656F">
      <w:pPr>
        <w:pStyle w:val="Standard"/>
        <w:spacing w:line="240" w:lineRule="auto"/>
      </w:pPr>
      <w:r>
        <w:rPr>
          <w:i/>
        </w:rPr>
        <w:tab/>
      </w:r>
      <w:r w:rsidR="00970B4A">
        <w:rPr>
          <w:i/>
        </w:rPr>
        <w:t>Reynolds v Bureau of State Lottery</w:t>
      </w:r>
      <w:r w:rsidR="00970B4A">
        <w:t xml:space="preserve">, 240 Mich App 84; 610 NW2d 597 (2000), supports this interpretation of the Secretary’s memorandum.  In </w:t>
      </w:r>
      <w:r w:rsidR="00970B4A" w:rsidRPr="00C31770">
        <w:rPr>
          <w:i/>
        </w:rPr>
        <w:t>Reynolds</w:t>
      </w:r>
      <w:r w:rsidR="00970B4A">
        <w:t xml:space="preserve">, this Court explained, “According to the Michigan Constitution, the people reserve the right to refer ‘laws enacted by the </w:t>
      </w:r>
      <w:proofErr w:type="gramStart"/>
      <w:r w:rsidR="00970B4A">
        <w:t>legislature .</w:t>
      </w:r>
      <w:proofErr w:type="gramEnd"/>
      <w:r w:rsidR="00970B4A">
        <w:t xml:space="preserve"> . . .’  </w:t>
      </w:r>
      <w:proofErr w:type="gramStart"/>
      <w:r w:rsidR="00970B4A">
        <w:t>Const 1963, art 2, § 9.</w:t>
      </w:r>
      <w:proofErr w:type="gramEnd"/>
      <w:r w:rsidR="00970B4A">
        <w:t xml:space="preserve">  The ‘law’ referred to by our constitution can only be </w:t>
      </w:r>
      <w:r w:rsidR="00970B4A" w:rsidRPr="007A69E5">
        <w:rPr>
          <w:i/>
        </w:rPr>
        <w:t xml:space="preserve">a definite, specific </w:t>
      </w:r>
      <w:proofErr w:type="gramStart"/>
      <w:r w:rsidR="00970B4A" w:rsidRPr="007A69E5">
        <w:rPr>
          <w:i/>
        </w:rPr>
        <w:t>act</w:t>
      </w:r>
      <w:r w:rsidR="00970B4A">
        <w:t> .</w:t>
      </w:r>
      <w:proofErr w:type="gramEnd"/>
      <w:r w:rsidR="00970B4A">
        <w:t xml:space="preserve"> . . .”  </w:t>
      </w:r>
      <w:r w:rsidR="00970B4A" w:rsidRPr="007A69E5">
        <w:rPr>
          <w:i/>
        </w:rPr>
        <w:t>Reynolds</w:t>
      </w:r>
      <w:r w:rsidR="00970B4A">
        <w:t xml:space="preserve">, 240 Mich App at 97 (emphasis added).  Moreover, “when a law enacted by the legislature is referred to the people, the reference is of a particular definite act and not, by implication, the general principle or subject matter at issue in the act.”  </w:t>
      </w:r>
      <w:proofErr w:type="gramStart"/>
      <w:r w:rsidR="00970B4A">
        <w:rPr>
          <w:i/>
        </w:rPr>
        <w:t>Id.</w:t>
      </w:r>
      <w:r w:rsidR="00970B4A" w:rsidRPr="00535AE9">
        <w:t xml:space="preserve"> </w:t>
      </w:r>
      <w:r w:rsidR="00970B4A">
        <w:t>(quotations and brackets omitted).</w:t>
      </w:r>
      <w:proofErr w:type="gramEnd"/>
      <w:r w:rsidR="00970B4A">
        <w:t xml:space="preserve">  Moreover, “Nowhere in the Constitution can be found even a suggestion that a referendum petition has any effect except the nullification of </w:t>
      </w:r>
      <w:r w:rsidR="00970B4A" w:rsidRPr="00C31770">
        <w:rPr>
          <w:i/>
        </w:rPr>
        <w:t>the particular measure referred</w:t>
      </w:r>
      <w:r w:rsidR="00970B4A">
        <w:t xml:space="preserve"> until its approval by the </w:t>
      </w:r>
      <w:proofErr w:type="gramStart"/>
      <w:r w:rsidR="00970B4A">
        <w:t>voters .</w:t>
      </w:r>
      <w:proofErr w:type="gramEnd"/>
      <w:r w:rsidR="00970B4A">
        <w:t xml:space="preserve"> . . .”  </w:t>
      </w:r>
      <w:r w:rsidR="00970B4A">
        <w:rPr>
          <w:i/>
        </w:rPr>
        <w:t>Id.</w:t>
      </w:r>
      <w:r w:rsidR="00970B4A">
        <w:t xml:space="preserve"> at 94, quoting </w:t>
      </w:r>
      <w:r w:rsidR="00970B4A" w:rsidRPr="00C31770">
        <w:rPr>
          <w:i/>
        </w:rPr>
        <w:t xml:space="preserve">Mich Farm Bureau v </w:t>
      </w:r>
      <w:proofErr w:type="spellStart"/>
      <w:r w:rsidR="00970B4A" w:rsidRPr="00C31770">
        <w:rPr>
          <w:i/>
        </w:rPr>
        <w:t>Sec’y</w:t>
      </w:r>
      <w:proofErr w:type="spellEnd"/>
      <w:r w:rsidR="00970B4A" w:rsidRPr="00C31770">
        <w:rPr>
          <w:i/>
        </w:rPr>
        <w:t xml:space="preserve"> of State</w:t>
      </w:r>
      <w:r w:rsidR="00970B4A">
        <w:t>, 379 Mich 387, 396; 151 NW2d 797 (1967) (emphasis added).  Thus, given the prior precedent of this Court and the Supreme Court, we hold that the Secretary’s requirements do not require any other act to be published in the petitions other than the act that is the direct subject of the referendum.</w:t>
      </w:r>
    </w:p>
    <w:p w:rsidR="00107906" w:rsidRDefault="00535AE9" w:rsidP="00E4656F">
      <w:pPr>
        <w:pStyle w:val="Standard"/>
        <w:spacing w:line="240" w:lineRule="auto"/>
      </w:pPr>
      <w:r>
        <w:tab/>
      </w:r>
      <w:r w:rsidR="00970B4A">
        <w:t>In addition, the tie-bar language of PA 9 required only that PA 4 must have been enacted into law in order for PA 9 to “take effect</w:t>
      </w:r>
      <w:r>
        <w:t>.</w:t>
      </w:r>
      <w:r w:rsidR="00970B4A">
        <w:t xml:space="preserve">”  Unquestionably, this condition was satisfied on March 16, 2011, when both PA 4 and PA 9 became effective.  The tie-bar language did not state, however, that PA 9 would “remain” in effect only so long as PA 4 is effective.  In other words, the tie-bar language addressed when the act could </w:t>
      </w:r>
      <w:r w:rsidR="00970B4A" w:rsidRPr="00596A6A">
        <w:rPr>
          <w:i/>
        </w:rPr>
        <w:t>come into existence</w:t>
      </w:r>
      <w:r w:rsidR="00970B4A">
        <w:t xml:space="preserve">, but the tie-bar language had no bearing or influence after that incident or condition occurred, and once both acts became effective, the two acts were no longer contingent upon each other.  </w:t>
      </w:r>
      <w:r>
        <w:t xml:space="preserve">See </w:t>
      </w:r>
      <w:proofErr w:type="spellStart"/>
      <w:r>
        <w:t>OAG</w:t>
      </w:r>
      <w:proofErr w:type="spellEnd"/>
      <w:r>
        <w:t>, 1979-1980, No 5478 (April 4, 1979)</w:t>
      </w:r>
      <w:r w:rsidRPr="00535AE9">
        <w:t xml:space="preserve"> </w:t>
      </w:r>
      <w:r>
        <w:t xml:space="preserve">(“Tie-barred statutes are statutes which do not become operative until the happening of a contingency, the passage of another statute.”).  </w:t>
      </w:r>
      <w:r w:rsidR="00970B4A">
        <w:t>If the Legislature had intended a more permanent linkage between the two acts, it could have used more expansive language to make clear that PA 9 would remain in effect only so long as PA 4 remained in effect.</w:t>
      </w:r>
    </w:p>
    <w:p w:rsidR="00107906" w:rsidRDefault="00535AE9" w:rsidP="00E4656F">
      <w:pPr>
        <w:pStyle w:val="Standard"/>
        <w:spacing w:line="240" w:lineRule="auto"/>
      </w:pPr>
      <w:r>
        <w:tab/>
      </w:r>
      <w:r w:rsidR="00970B4A">
        <w:t>We recognize that two sections of PA 9 (sections 8 and 9) would appear to be made inoperable if PA 4 is repealed since these sections both refer to PA 4 by its name, “the Local Government and School District Fiscal Accountability Act”:</w:t>
      </w:r>
    </w:p>
    <w:p w:rsidR="00970B4A" w:rsidRDefault="00970B4A" w:rsidP="00E4656F">
      <w:pPr>
        <w:pStyle w:val="BlockText"/>
      </w:pPr>
      <w:r>
        <w:t xml:space="preserve">(8) Collective bargaining agreements under this act may be rejected, modified, or terminated pursuant to </w:t>
      </w:r>
      <w:r w:rsidRPr="00002FCC">
        <w:rPr>
          <w:i/>
        </w:rPr>
        <w:t>the local government and school district fiscal accountability act</w:t>
      </w:r>
      <w:r>
        <w:t xml:space="preserve">.  This act does not confer a right to bargain that would infringe on the exercise of powers under </w:t>
      </w:r>
      <w:r w:rsidRPr="00002FCC">
        <w:rPr>
          <w:i/>
        </w:rPr>
        <w:t>the local government and school district fiscal accountability act</w:t>
      </w:r>
      <w:r>
        <w:t>.</w:t>
      </w:r>
    </w:p>
    <w:p w:rsidR="00970B4A" w:rsidRDefault="00970B4A" w:rsidP="00E4656F">
      <w:pPr>
        <w:pStyle w:val="BlockText"/>
      </w:pPr>
      <w:r>
        <w:t xml:space="preserve">(9) A unit of local government that enters into a consent agreement under </w:t>
      </w:r>
      <w:r w:rsidRPr="00002FCC">
        <w:rPr>
          <w:i/>
        </w:rPr>
        <w:t>the local government and school district fiscal accountability act</w:t>
      </w:r>
      <w:r>
        <w:t xml:space="preserve"> is not subject to </w:t>
      </w:r>
      <w:r>
        <w:lastRenderedPageBreak/>
        <w:t xml:space="preserve">subsection (1) for the term of the consent agreement, as provided in </w:t>
      </w:r>
      <w:r w:rsidRPr="00002FCC">
        <w:rPr>
          <w:i/>
        </w:rPr>
        <w:t>the local government and school district fiscal accountability act</w:t>
      </w:r>
      <w:r>
        <w:t>.  [Emphasis added.]</w:t>
      </w:r>
    </w:p>
    <w:p w:rsidR="00107906" w:rsidRDefault="00535AE9" w:rsidP="00E4656F">
      <w:pPr>
        <w:pStyle w:val="Standard"/>
        <w:spacing w:line="240" w:lineRule="auto"/>
      </w:pPr>
      <w:r>
        <w:tab/>
      </w:r>
      <w:r w:rsidR="00970B4A">
        <w:t xml:space="preserve">Regardless, the fact that sections 8 and 9 of PA 9 would become inoperable with the repeal of PA 4 does not constitute the repeal of these sections.  See </w:t>
      </w:r>
      <w:r w:rsidR="00970B4A">
        <w:rPr>
          <w:i/>
        </w:rPr>
        <w:t>Reynolds</w:t>
      </w:r>
      <w:r w:rsidR="00470EEA" w:rsidRPr="00470EEA">
        <w:t>,</w:t>
      </w:r>
      <w:r w:rsidR="00970B4A">
        <w:t xml:space="preserve"> 240 Mich App at 94 (the only effect of a referendum is to nullify “the particular measure referred”).</w:t>
      </w:r>
    </w:p>
    <w:p w:rsidR="00970B4A" w:rsidRDefault="00970B4A" w:rsidP="00E4656F">
      <w:pPr>
        <w:pStyle w:val="Standard"/>
        <w:spacing w:line="240" w:lineRule="auto"/>
        <w:ind w:firstLine="720"/>
      </w:pPr>
      <w:r>
        <w:t xml:space="preserve">Therefore, we reject </w:t>
      </w:r>
      <w:proofErr w:type="spellStart"/>
      <w:r>
        <w:t>CFR’s</w:t>
      </w:r>
      <w:proofErr w:type="spellEnd"/>
      <w:r>
        <w:t xml:space="preserve"> final challenge to the validity of plaintiff’s referendum petitions.</w:t>
      </w:r>
    </w:p>
    <w:p w:rsidR="00970B4A" w:rsidRDefault="00292151" w:rsidP="00E4656F">
      <w:pPr>
        <w:pStyle w:val="Standard"/>
        <w:spacing w:line="240" w:lineRule="auto"/>
        <w:jc w:val="center"/>
      </w:pPr>
      <w:r>
        <w:t>V</w:t>
      </w:r>
    </w:p>
    <w:p w:rsidR="00970B4A" w:rsidRDefault="00970B4A" w:rsidP="00E4656F">
      <w:pPr>
        <w:pStyle w:val="Standard"/>
        <w:spacing w:line="240" w:lineRule="auto"/>
      </w:pPr>
      <w:r>
        <w:tab/>
        <w:t xml:space="preserve">In summary, under </w:t>
      </w:r>
      <w:r w:rsidRPr="00780054">
        <w:rPr>
          <w:i/>
        </w:rPr>
        <w:t>Bloomfield</w:t>
      </w:r>
      <w:r>
        <w:t xml:space="preserve">, plaintiff’s petition substantially complies with the statutory requirements such that plaintiff has a clear legal right to certification of the petition.  Defendants have a clear duty to certify the petition for the ballot because the petition has the requisite number of signatures and meets all other statutory requirements.  Under </w:t>
      </w:r>
      <w:r w:rsidR="00292151">
        <w:t xml:space="preserve">all of </w:t>
      </w:r>
      <w:r>
        <w:t>the circumstances</w:t>
      </w:r>
      <w:r w:rsidR="00292151">
        <w:t xml:space="preserve"> presented here</w:t>
      </w:r>
      <w:r>
        <w:t xml:space="preserve">, the act of placing the petition on the ballot is ministerial.  Plaintiff does not have an alternate legal remedy.  The elements of mandamus thus have been met and we direct the Board to certify plaintiff’s petition for the ballot.  However, as we have indicated, but for the fact that we are required to follow </w:t>
      </w:r>
      <w:r w:rsidRPr="002242FC">
        <w:rPr>
          <w:i/>
        </w:rPr>
        <w:t>Bloomfield</w:t>
      </w:r>
      <w:r>
        <w:t xml:space="preserve"> under MCR 7.215(J</w:t>
      </w:r>
      <w:proofErr w:type="gramStart"/>
      <w:r>
        <w:t>)(</w:t>
      </w:r>
      <w:proofErr w:type="gramEnd"/>
      <w:r>
        <w:t>1), we would rule that plaintiff’s petition is invalid because the petition heading is noncompliant with the 14-point type mandated by the Secretary and MCL 168.482(2)</w:t>
      </w:r>
      <w:r w:rsidR="00DC31A2">
        <w:t>.  Furthermore</w:t>
      </w:r>
      <w:r>
        <w:t xml:space="preserve">, because of the invalid petition heading, </w:t>
      </w:r>
      <w:r w:rsidR="00DC31A2">
        <w:t xml:space="preserve">we would find that </w:t>
      </w:r>
      <w:r>
        <w:t>plaintiff has no clear legal right to certification of the referendum for placement on the November 2012 ballot, and therefore</w:t>
      </w:r>
      <w:r w:rsidR="00DC31A2">
        <w:t>, we would</w:t>
      </w:r>
      <w:r>
        <w:t xml:space="preserve"> direct the Board to not certify plaintiff’s petition for the ballot.</w:t>
      </w:r>
    </w:p>
    <w:p w:rsidR="00E4656F" w:rsidRDefault="00970B4A" w:rsidP="00E4656F">
      <w:pPr>
        <w:pStyle w:val="Standard"/>
        <w:spacing w:line="240" w:lineRule="auto"/>
      </w:pPr>
      <w:r>
        <w:tab/>
        <w:t xml:space="preserve">Because </w:t>
      </w:r>
      <w:r w:rsidRPr="00EB62C5">
        <w:rPr>
          <w:i/>
        </w:rPr>
        <w:t>Bloomfield</w:t>
      </w:r>
      <w:r>
        <w:t xml:space="preserve"> is determinative of the outcome of this case, we follow it as we must under MCR 7.215(J</w:t>
      </w:r>
      <w:proofErr w:type="gramStart"/>
      <w:r>
        <w:t>)(</w:t>
      </w:r>
      <w:proofErr w:type="gramEnd"/>
      <w:r>
        <w:t>1), and we call for the convening of a special panel of this Court pursuant to MCR 7.215(J)(3).  This opinion is given routine issuance pursuant to MCR 7.215(F</w:t>
      </w:r>
      <w:proofErr w:type="gramStart"/>
      <w:r>
        <w:t>)(</w:t>
      </w:r>
      <w:proofErr w:type="gramEnd"/>
      <w:r>
        <w:t>1) and execution is stayed pending the poll of the judges of this Court pursuant to MCR 7.215(J)(3)(a).</w:t>
      </w:r>
    </w:p>
    <w:p w:rsidR="00E4656F" w:rsidRDefault="00E4656F">
      <w:pPr>
        <w:pStyle w:val="SigLine"/>
      </w:pPr>
      <w:r>
        <w:t>/s/ Kurtis T. Wilder</w:t>
      </w:r>
      <w:r>
        <w:tab/>
      </w:r>
    </w:p>
    <w:p w:rsidR="00E4656F" w:rsidRDefault="00E4656F">
      <w:pPr>
        <w:pStyle w:val="SigLine"/>
      </w:pPr>
      <w:r>
        <w:t>/s/ Kirsten Frank Kelly</w:t>
      </w:r>
    </w:p>
    <w:p w:rsidR="00E4656F" w:rsidRDefault="00E4656F">
      <w:pPr>
        <w:pStyle w:val="SigLine"/>
      </w:pPr>
      <w:r>
        <w:t>/s/ Michael J. Riordan</w:t>
      </w:r>
    </w:p>
    <w:p w:rsidR="00377F6A" w:rsidRDefault="00377F6A" w:rsidP="00E4656F">
      <w:pPr>
        <w:pStyle w:val="SigLine"/>
      </w:pPr>
    </w:p>
    <w:sectPr w:rsidR="00377F6A" w:rsidSect="000755C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F47" w:rsidRDefault="00747F47">
      <w:r>
        <w:separator/>
      </w:r>
    </w:p>
  </w:endnote>
  <w:endnote w:type="continuationSeparator" w:id="0">
    <w:p w:rsidR="00747F47" w:rsidRDefault="00747F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47" w:rsidRDefault="00747F47">
    <w:pPr>
      <w:pStyle w:val="Footer"/>
      <w:jc w:val="center"/>
      <w:rPr>
        <w:rStyle w:val="PageNumber"/>
      </w:rPr>
    </w:pPr>
    <w:r>
      <w:t>-</w:t>
    </w:r>
    <w:r w:rsidR="00E6462B">
      <w:rPr>
        <w:rStyle w:val="PageNumber"/>
      </w:rPr>
      <w:fldChar w:fldCharType="begin"/>
    </w:r>
    <w:r>
      <w:rPr>
        <w:rStyle w:val="PageNumber"/>
      </w:rPr>
      <w:instrText xml:space="preserve"> PAGE </w:instrText>
    </w:r>
    <w:r w:rsidR="00E6462B">
      <w:rPr>
        <w:rStyle w:val="PageNumber"/>
      </w:rPr>
      <w:fldChar w:fldCharType="separate"/>
    </w:r>
    <w:r w:rsidR="00B9529C">
      <w:rPr>
        <w:rStyle w:val="PageNumber"/>
        <w:noProof/>
      </w:rPr>
      <w:t>1</w:t>
    </w:r>
    <w:r w:rsidR="00E6462B">
      <w:rPr>
        <w:rStyle w:val="PageNumber"/>
      </w:rPr>
      <w:fldChar w:fldCharType="end"/>
    </w:r>
    <w:r>
      <w:rPr>
        <w:rStyle w:val="PageNumber"/>
      </w:rPr>
      <w:t>-</w:t>
    </w:r>
  </w:p>
  <w:p w:rsidR="00747F47" w:rsidRDefault="00747F47">
    <w:pPr>
      <w:pStyle w:val="Footer"/>
    </w:pPr>
    <w:bookmarkStart w:id="22" w:name="FooterCaseNumberName"/>
    <w:bookmarkEnd w:id="2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F47" w:rsidRDefault="00747F47">
      <w:pPr>
        <w:pStyle w:val="Footer"/>
      </w:pPr>
    </w:p>
    <w:p w:rsidR="00747F47" w:rsidRDefault="00747F47">
      <w:pPr>
        <w:pStyle w:val="Footer"/>
      </w:pPr>
      <w:r>
        <w:separator/>
      </w:r>
    </w:p>
  </w:footnote>
  <w:footnote w:type="continuationSeparator" w:id="0">
    <w:p w:rsidR="00747F47" w:rsidRDefault="00747F47" w:rsidP="0085212D">
      <w:pPr>
        <w:pStyle w:val="Footer"/>
        <w:pBdr>
          <w:top w:val="single" w:sz="4" w:space="1" w:color="auto"/>
        </w:pBdr>
        <w:spacing w:line="60" w:lineRule="exact"/>
        <w:ind w:right="6480"/>
        <w:jc w:val="both"/>
        <w:rPr>
          <w:sz w:val="20"/>
        </w:rPr>
      </w:pPr>
    </w:p>
  </w:footnote>
  <w:footnote w:type="continuationNotice" w:id="1">
    <w:p w:rsidR="00747F47" w:rsidRPr="00263942" w:rsidRDefault="00747F47" w:rsidP="00263942">
      <w:pPr>
        <w:pStyle w:val="Footer"/>
      </w:pPr>
    </w:p>
  </w:footnote>
  <w:footnote w:id="2">
    <w:p w:rsidR="00747F47" w:rsidRDefault="00747F47" w:rsidP="00B7499B">
      <w:pPr>
        <w:pStyle w:val="FootnoteText"/>
      </w:pPr>
      <w:r>
        <w:rPr>
          <w:rStyle w:val="FootnoteReference"/>
        </w:rPr>
        <w:footnoteRef/>
      </w:r>
      <w:r>
        <w:t xml:space="preserve"> Whereas the 1963 Constitution dictates that the Legislature shall prescribe the form and other requirements of initiative and referendum petitions, in the predecessor constitution of 1908, the prescribed form of initiative and referendum petitions was governed by the language of the constitution itself.  See Const 1908, art 5, § 1; art 17, § 2.</w:t>
      </w:r>
    </w:p>
  </w:footnote>
  <w:footnote w:id="3">
    <w:p w:rsidR="00747F47" w:rsidRDefault="00747F47">
      <w:pPr>
        <w:pStyle w:val="FootnoteText"/>
      </w:pPr>
      <w:r>
        <w:rPr>
          <w:rStyle w:val="FootnoteReference"/>
        </w:rPr>
        <w:footnoteRef/>
      </w:r>
      <w:r>
        <w:t xml:space="preserve"> Before it was amended in 1965, § 482 required the petition heading to “be prepared in the following form and printed in the type of the </w:t>
      </w:r>
      <w:r w:rsidRPr="00C149A6">
        <w:rPr>
          <w:i/>
        </w:rPr>
        <w:t>approximate</w:t>
      </w:r>
      <w:r>
        <w:t xml:space="preserve"> size set forth.”  (Emphasis added.)</w:t>
      </w:r>
    </w:p>
  </w:footnote>
  <w:footnote w:id="4">
    <w:p w:rsidR="00747F47" w:rsidRDefault="00747F47" w:rsidP="00955BC8">
      <w:pPr>
        <w:pStyle w:val="FootnoteText"/>
      </w:pPr>
      <w:r>
        <w:rPr>
          <w:rStyle w:val="FootnoteReference"/>
        </w:rPr>
        <w:footnoteRef/>
      </w:r>
      <w:r>
        <w:t xml:space="preserve"> The Secretary’s requirement is consistent with the constitutional mandate that the minimum number of signatures needed for a referendum petition is </w:t>
      </w:r>
      <w:r w:rsidRPr="00FE0D58">
        <w:t xml:space="preserve">five percent of the total </w:t>
      </w:r>
      <w:r>
        <w:t xml:space="preserve">number of </w:t>
      </w:r>
      <w:r w:rsidRPr="00FE0D58">
        <w:t>vote</w:t>
      </w:r>
      <w:r>
        <w:t>s</w:t>
      </w:r>
      <w:r w:rsidRPr="00FE0D58">
        <w:t xml:space="preserve"> cast for all candidates for governor at the </w:t>
      </w:r>
      <w:r>
        <w:t xml:space="preserve">most recent general election.  </w:t>
      </w:r>
      <w:proofErr w:type="gramStart"/>
      <w:r w:rsidRPr="00FE0D58">
        <w:t>Const 1963, art 2, §</w:t>
      </w:r>
      <w:r>
        <w:t> </w:t>
      </w:r>
      <w:r w:rsidRPr="00FE0D58">
        <w:t>9</w:t>
      </w:r>
      <w:r>
        <w:t>.</w:t>
      </w:r>
      <w:proofErr w:type="gramEnd"/>
    </w:p>
  </w:footnote>
  <w:footnote w:id="5">
    <w:p w:rsidR="00747F47" w:rsidRDefault="00747F47" w:rsidP="00C62EB4">
      <w:pPr>
        <w:pStyle w:val="FootnoteText"/>
      </w:pPr>
      <w:r>
        <w:rPr>
          <w:rStyle w:val="FootnoteReference"/>
        </w:rPr>
        <w:footnoteRef/>
      </w:r>
      <w:r>
        <w:t xml:space="preserve"> This requirement is consistent with MCL 168.477(2), which provides:  “</w:t>
      </w:r>
      <w:r w:rsidRPr="00DD0AB9">
        <w:t>(2) For the purposes of the second paragraph of section 9 of article II of the state constitution of 1963, a law that is the subject of the referendum continues to be effective until the referendum is properly invoked, which occurs when the board of state canvassers makes its official declaration of the sufficiency of the referendum petition.</w:t>
      </w:r>
      <w:r>
        <w:t xml:space="preserve"> </w:t>
      </w:r>
      <w:r w:rsidRPr="00DD0AB9">
        <w:t xml:space="preserve"> The board of state canvassers shall complete the canvass of a referendum petition within 60 days after the petition is filed with the secretary of state, except that </w:t>
      </w:r>
      <w:r>
        <w:t>one</w:t>
      </w:r>
      <w:r w:rsidRPr="00DD0AB9">
        <w:t xml:space="preserve"> 15-day extension may be granted by the secretary of state if necessary to complete the canvass.</w:t>
      </w:r>
      <w:r>
        <w:t>”</w:t>
      </w:r>
    </w:p>
  </w:footnote>
  <w:footnote w:id="6">
    <w:p w:rsidR="00747F47" w:rsidRPr="00BC50C4" w:rsidRDefault="00747F47">
      <w:pPr>
        <w:pStyle w:val="FootnoteText"/>
      </w:pPr>
      <w:r>
        <w:rPr>
          <w:rStyle w:val="FootnoteReference"/>
        </w:rPr>
        <w:footnoteRef/>
      </w:r>
      <w:r>
        <w:t xml:space="preserve"> Because </w:t>
      </w:r>
      <w:r>
        <w:rPr>
          <w:i/>
        </w:rPr>
        <w:t xml:space="preserve">The Tea Party </w:t>
      </w:r>
      <w:r>
        <w:t>is an unpublished order, it is not binding precedent under MCR 7.215(C</w:t>
      </w:r>
      <w:proofErr w:type="gramStart"/>
      <w:r>
        <w:t>)(</w:t>
      </w:r>
      <w:proofErr w:type="gramEnd"/>
      <w:r>
        <w:t>1).</w:t>
      </w:r>
    </w:p>
  </w:footnote>
  <w:footnote w:id="7">
    <w:p w:rsidR="00747F47" w:rsidRDefault="00747F47" w:rsidP="00A607DE">
      <w:pPr>
        <w:pStyle w:val="FootnoteText"/>
      </w:pPr>
      <w:r>
        <w:rPr>
          <w:rStyle w:val="FootnoteReference"/>
        </w:rPr>
        <w:footnoteRef/>
      </w:r>
      <w:r>
        <w:t xml:space="preserve"> See MCL </w:t>
      </w:r>
      <w:proofErr w:type="gramStart"/>
      <w:r>
        <w:t>168.22d(</w:t>
      </w:r>
      <w:proofErr w:type="gramEnd"/>
      <w:r>
        <w:t>2), which provides:  “</w:t>
      </w:r>
      <w:r w:rsidRPr="00507FAE">
        <w:t xml:space="preserve">(2) Three members of the board of state canvassers constitute a quorum of the board. </w:t>
      </w:r>
      <w:r>
        <w:t xml:space="preserve"> </w:t>
      </w:r>
      <w:r w:rsidRPr="00507FAE">
        <w:t>However, an action of the board of state canvassers shall only be effective upon concurrence of at least 1 member of each major political party appointed to the board.</w:t>
      </w:r>
      <w:r>
        <w:t>”</w:t>
      </w:r>
    </w:p>
  </w:footnote>
  <w:footnote w:id="8">
    <w:p w:rsidR="00747F47" w:rsidRPr="00B0473F" w:rsidRDefault="00747F47">
      <w:pPr>
        <w:pStyle w:val="FootnoteText"/>
      </w:pPr>
      <w:r>
        <w:rPr>
          <w:rStyle w:val="FootnoteReference"/>
        </w:rPr>
        <w:footnoteRef/>
      </w:r>
      <w:r>
        <w:t xml:space="preserve"> We granted </w:t>
      </w:r>
      <w:proofErr w:type="spellStart"/>
      <w:r>
        <w:t>CFR’s</w:t>
      </w:r>
      <w:proofErr w:type="spellEnd"/>
      <w:r>
        <w:t xml:space="preserve"> motion to intervene in </w:t>
      </w:r>
      <w:r>
        <w:rPr>
          <w:i/>
        </w:rPr>
        <w:t xml:space="preserve">Stand Up for Democracy v </w:t>
      </w:r>
      <w:proofErr w:type="spellStart"/>
      <w:r>
        <w:rPr>
          <w:i/>
        </w:rPr>
        <w:t>Sec’y</w:t>
      </w:r>
      <w:proofErr w:type="spellEnd"/>
      <w:r>
        <w:rPr>
          <w:i/>
        </w:rPr>
        <w:t xml:space="preserve"> of State</w:t>
      </w:r>
      <w:r>
        <w:t>, unpublished order of the Court of Appeals, entered May 11, 2012 (Docket No. 310047).</w:t>
      </w:r>
    </w:p>
  </w:footnote>
  <w:footnote w:id="9">
    <w:p w:rsidR="00747F47" w:rsidRPr="006E0102" w:rsidRDefault="00747F47" w:rsidP="00A25CBF">
      <w:r>
        <w:rPr>
          <w:rStyle w:val="FootnoteReference"/>
        </w:rPr>
        <w:footnoteRef/>
      </w:r>
      <w:r>
        <w:t xml:space="preserve"> MCL 168.479 provides:  “</w:t>
      </w:r>
      <w:r w:rsidRPr="006E0102">
        <w:t xml:space="preserve">Any person or persons, feeling themselves aggrieved by any determination made by said board, may have such determination reviewed by mandamus, certiorari, or other appropriate remedy in the </w:t>
      </w:r>
      <w:proofErr w:type="gramStart"/>
      <w:r w:rsidRPr="006E0102">
        <w:t>supreme court</w:t>
      </w:r>
      <w:proofErr w:type="gramEnd"/>
      <w:r w:rsidRPr="006E0102">
        <w:t>.</w:t>
      </w:r>
      <w:r>
        <w:t>”</w:t>
      </w:r>
    </w:p>
    <w:p w:rsidR="00747F47" w:rsidRDefault="00747F47" w:rsidP="00A25CBF">
      <w:pPr>
        <w:pStyle w:val="FootnoteText"/>
      </w:pPr>
    </w:p>
  </w:footnote>
  <w:footnote w:id="10">
    <w:p w:rsidR="00747F47" w:rsidRDefault="00747F47" w:rsidP="005C431D">
      <w:pPr>
        <w:pStyle w:val="FootnoteText"/>
      </w:pPr>
      <w:r>
        <w:rPr>
          <w:rStyle w:val="FootnoteReference"/>
        </w:rPr>
        <w:footnoteRef/>
      </w:r>
      <w:r>
        <w:t xml:space="preserve"> Examples of font families include Times New Roman, Calibri, Arial, etc.  See Microsoft Typography, &lt;http://www.microsoft.com/typography/fonts/family.aspx&gt; (last accessed June 7, 2012).</w:t>
      </w:r>
    </w:p>
  </w:footnote>
  <w:footnote w:id="11">
    <w:p w:rsidR="00747F47" w:rsidRDefault="00747F47">
      <w:pPr>
        <w:pStyle w:val="FootnoteText"/>
      </w:pPr>
      <w:r>
        <w:rPr>
          <w:rStyle w:val="FootnoteReference"/>
        </w:rPr>
        <w:footnoteRef/>
      </w:r>
      <w:r>
        <w:t xml:space="preserve"> Because 14-point is a unit of measurement easily determined by use of an E-scale ruler, neither this Court nor the Board requires expert testimony to determine whether the correct measurement has been met.</w:t>
      </w:r>
    </w:p>
  </w:footnote>
  <w:footnote w:id="12">
    <w:p w:rsidR="00747F47" w:rsidRDefault="00747F47" w:rsidP="00AD441D">
      <w:pPr>
        <w:pStyle w:val="FootnoteText"/>
      </w:pPr>
      <w:r>
        <w:rPr>
          <w:rStyle w:val="FootnoteReference"/>
        </w:rPr>
        <w:footnoteRef/>
      </w:r>
      <w:r>
        <w:t xml:space="preserve"> Because “font” is defined as “a complete assortment of type of one style and size,” “font” is </w:t>
      </w:r>
      <w:r w:rsidRPr="00701B3C">
        <w:rPr>
          <w:i/>
        </w:rPr>
        <w:t>not</w:t>
      </w:r>
      <w:r>
        <w:t xml:space="preserve"> a unit of measurement.</w:t>
      </w:r>
    </w:p>
  </w:footnote>
  <w:footnote w:id="13">
    <w:p w:rsidR="00747F47" w:rsidRDefault="00747F47">
      <w:pPr>
        <w:pStyle w:val="FootnoteText"/>
      </w:pPr>
      <w:r>
        <w:rPr>
          <w:rStyle w:val="FootnoteReference"/>
        </w:rPr>
        <w:footnoteRef/>
      </w:r>
      <w:r>
        <w:t xml:space="preserve"> Plaintiff claimed in its motion to supplement the record that prior to the Board’s April 26, 2012, hearing, Director of Elections Thomas had been provided an expert opinion from Professor Chris Corneal, Associate Professor of Graphic Design at Michigan State University, that the heading size was accurate, and that he improperly failed to submit that information to the Board.  Although we have denied plaintiff’s motion to supplement the record, </w:t>
      </w:r>
      <w:r w:rsidRPr="001556BE">
        <w:rPr>
          <w:i/>
        </w:rPr>
        <w:t xml:space="preserve">Stand Up for Democracy v </w:t>
      </w:r>
      <w:proofErr w:type="spellStart"/>
      <w:r w:rsidRPr="001556BE">
        <w:rPr>
          <w:i/>
        </w:rPr>
        <w:t>Sec’y</w:t>
      </w:r>
      <w:proofErr w:type="spellEnd"/>
      <w:r w:rsidRPr="001556BE">
        <w:rPr>
          <w:i/>
        </w:rPr>
        <w:t xml:space="preserve"> of State</w:t>
      </w:r>
      <w:r>
        <w:t>, unpublished order of the Court of Appeals, entered May 14, 2012 (Docket No. 310047)</w:t>
      </w:r>
      <w:proofErr w:type="gramStart"/>
      <w:r>
        <w:t>,</w:t>
      </w:r>
      <w:proofErr w:type="gramEnd"/>
      <w:r>
        <w:t xml:space="preserve"> we believe it is important to note here that Director Thomas was only told what the record already reveals, that the heading was in 14-point Calibri </w:t>
      </w:r>
      <w:r w:rsidRPr="00701B3C">
        <w:rPr>
          <w:i/>
        </w:rPr>
        <w:t>font</w:t>
      </w:r>
      <w:r>
        <w:t xml:space="preserve">.  Because the font utilized by plaintiff fails to comply with the required measurement of 14-point </w:t>
      </w:r>
      <w:r w:rsidRPr="00701B3C">
        <w:rPr>
          <w:i/>
        </w:rPr>
        <w:t>type</w:t>
      </w:r>
      <w:r>
        <w:t xml:space="preserve">, plaintiff’s contention that Director Thomas withheld information from the board that was relevant to and supportive of </w:t>
      </w:r>
      <w:r w:rsidRPr="00BE548B">
        <w:t>plaintiff’s request for certification of its petitions simply is inaccurate.</w:t>
      </w:r>
    </w:p>
  </w:footnote>
  <w:footnote w:id="14">
    <w:p w:rsidR="00747F47" w:rsidRPr="00B93CCE" w:rsidRDefault="00747F47" w:rsidP="006B0B88">
      <w:pPr>
        <w:pStyle w:val="FootnoteText"/>
      </w:pPr>
      <w:r>
        <w:rPr>
          <w:rStyle w:val="FootnoteReference"/>
        </w:rPr>
        <w:footnoteRef/>
      </w:r>
      <w:r>
        <w:t xml:space="preserve"> The township initially challenged the petitions before the special election, but the circuit court declined to enjoin that election on the ground that the township had the adequate legal remedy of a post-election quo </w:t>
      </w:r>
      <w:proofErr w:type="spellStart"/>
      <w:r>
        <w:t>warranto</w:t>
      </w:r>
      <w:proofErr w:type="spellEnd"/>
      <w:r>
        <w:t xml:space="preserve"> action.  The election occurred, and Pontiac voters approved the annexation by a vote of 5,879 to 1,086; the township voters in the annexed area voted 14 in favor and 8 against.  </w:t>
      </w:r>
      <w:proofErr w:type="gramStart"/>
      <w:r>
        <w:rPr>
          <w:i/>
        </w:rPr>
        <w:t>Bloomfield</w:t>
      </w:r>
      <w:r>
        <w:t>, 253 Mich App at 9.</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30D378"/>
    <w:lvl w:ilvl="0">
      <w:start w:val="1"/>
      <w:numFmt w:val="decimal"/>
      <w:lvlText w:val="%1."/>
      <w:lvlJc w:val="left"/>
      <w:pPr>
        <w:tabs>
          <w:tab w:val="num" w:pos="1800"/>
        </w:tabs>
        <w:ind w:left="1800" w:hanging="360"/>
      </w:pPr>
    </w:lvl>
  </w:abstractNum>
  <w:abstractNum w:abstractNumId="1">
    <w:nsid w:val="FFFFFF7D"/>
    <w:multiLevelType w:val="singleLevel"/>
    <w:tmpl w:val="726E744A"/>
    <w:lvl w:ilvl="0">
      <w:start w:val="1"/>
      <w:numFmt w:val="decimal"/>
      <w:lvlText w:val="%1."/>
      <w:lvlJc w:val="left"/>
      <w:pPr>
        <w:tabs>
          <w:tab w:val="num" w:pos="1440"/>
        </w:tabs>
        <w:ind w:left="1440" w:hanging="360"/>
      </w:pPr>
    </w:lvl>
  </w:abstractNum>
  <w:abstractNum w:abstractNumId="2">
    <w:nsid w:val="FFFFFF7E"/>
    <w:multiLevelType w:val="singleLevel"/>
    <w:tmpl w:val="4B88368E"/>
    <w:lvl w:ilvl="0">
      <w:start w:val="1"/>
      <w:numFmt w:val="decimal"/>
      <w:lvlText w:val="%1."/>
      <w:lvlJc w:val="left"/>
      <w:pPr>
        <w:tabs>
          <w:tab w:val="num" w:pos="1080"/>
        </w:tabs>
        <w:ind w:left="1080" w:hanging="360"/>
      </w:pPr>
    </w:lvl>
  </w:abstractNum>
  <w:abstractNum w:abstractNumId="3">
    <w:nsid w:val="FFFFFF7F"/>
    <w:multiLevelType w:val="singleLevel"/>
    <w:tmpl w:val="F7C84EEC"/>
    <w:lvl w:ilvl="0">
      <w:start w:val="1"/>
      <w:numFmt w:val="decimal"/>
      <w:lvlText w:val="%1."/>
      <w:lvlJc w:val="left"/>
      <w:pPr>
        <w:tabs>
          <w:tab w:val="num" w:pos="720"/>
        </w:tabs>
        <w:ind w:left="720" w:hanging="360"/>
      </w:pPr>
    </w:lvl>
  </w:abstractNum>
  <w:abstractNum w:abstractNumId="4">
    <w:nsid w:val="FFFFFF80"/>
    <w:multiLevelType w:val="singleLevel"/>
    <w:tmpl w:val="A5D0BC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6CE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26DD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BC3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FBC3732"/>
    <w:lvl w:ilvl="0">
      <w:start w:val="1"/>
      <w:numFmt w:val="decimal"/>
      <w:lvlText w:val="%1."/>
      <w:lvlJc w:val="left"/>
      <w:pPr>
        <w:tabs>
          <w:tab w:val="num" w:pos="360"/>
        </w:tabs>
        <w:ind w:left="360" w:hanging="360"/>
      </w:pPr>
    </w:lvl>
  </w:abstractNum>
  <w:abstractNum w:abstractNumId="9">
    <w:nsid w:val="FFFFFF89"/>
    <w:multiLevelType w:val="singleLevel"/>
    <w:tmpl w:val="E980878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attachedTemplate r:id="rId1"/>
  <w:stylePaneFormatFilter w:val="1021"/>
  <w:stylePaneSortMethod w:val="00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Pr>
  <w:compat>
    <w:spaceForUL/>
    <w:balanceSingleByteDoubleByteWidth/>
    <w:doNotLeaveBackslashAlone/>
    <w:ulTrailSpace/>
    <w:doNotExpandShiftReturn/>
  </w:compat>
  <w:rsids>
    <w:rsidRoot w:val="00B531FD"/>
    <w:rsid w:val="00002FCC"/>
    <w:rsid w:val="0000376F"/>
    <w:rsid w:val="000046A5"/>
    <w:rsid w:val="000056B8"/>
    <w:rsid w:val="00011703"/>
    <w:rsid w:val="000132B1"/>
    <w:rsid w:val="000141BC"/>
    <w:rsid w:val="0002561F"/>
    <w:rsid w:val="00025ACD"/>
    <w:rsid w:val="00031E14"/>
    <w:rsid w:val="0003413F"/>
    <w:rsid w:val="00036C00"/>
    <w:rsid w:val="00036EEE"/>
    <w:rsid w:val="00040BB9"/>
    <w:rsid w:val="00041040"/>
    <w:rsid w:val="00042264"/>
    <w:rsid w:val="000514AF"/>
    <w:rsid w:val="00052034"/>
    <w:rsid w:val="000637E8"/>
    <w:rsid w:val="000649B9"/>
    <w:rsid w:val="000755C5"/>
    <w:rsid w:val="000835B1"/>
    <w:rsid w:val="00083CBF"/>
    <w:rsid w:val="00086011"/>
    <w:rsid w:val="000868C5"/>
    <w:rsid w:val="00091DEC"/>
    <w:rsid w:val="00092F10"/>
    <w:rsid w:val="000930E3"/>
    <w:rsid w:val="00093914"/>
    <w:rsid w:val="00093CC1"/>
    <w:rsid w:val="00095C0F"/>
    <w:rsid w:val="000A04F5"/>
    <w:rsid w:val="000A1CA1"/>
    <w:rsid w:val="000A2B3A"/>
    <w:rsid w:val="000B53C0"/>
    <w:rsid w:val="000C1264"/>
    <w:rsid w:val="000C232B"/>
    <w:rsid w:val="000C51BD"/>
    <w:rsid w:val="000C7ABF"/>
    <w:rsid w:val="000D018E"/>
    <w:rsid w:val="000D02B0"/>
    <w:rsid w:val="000E1F9F"/>
    <w:rsid w:val="000E4763"/>
    <w:rsid w:val="000E4793"/>
    <w:rsid w:val="000E4C31"/>
    <w:rsid w:val="000F09FE"/>
    <w:rsid w:val="000F10CC"/>
    <w:rsid w:val="000F155E"/>
    <w:rsid w:val="0010256F"/>
    <w:rsid w:val="001027A2"/>
    <w:rsid w:val="00103D55"/>
    <w:rsid w:val="001057D3"/>
    <w:rsid w:val="00107906"/>
    <w:rsid w:val="001103CC"/>
    <w:rsid w:val="0011341E"/>
    <w:rsid w:val="00115445"/>
    <w:rsid w:val="00120AB1"/>
    <w:rsid w:val="0012258B"/>
    <w:rsid w:val="00123BB8"/>
    <w:rsid w:val="001258BD"/>
    <w:rsid w:val="001268FE"/>
    <w:rsid w:val="00130D27"/>
    <w:rsid w:val="0013320C"/>
    <w:rsid w:val="001348DC"/>
    <w:rsid w:val="00152010"/>
    <w:rsid w:val="001542C4"/>
    <w:rsid w:val="001556BE"/>
    <w:rsid w:val="001557FE"/>
    <w:rsid w:val="0016014A"/>
    <w:rsid w:val="00163C8C"/>
    <w:rsid w:val="00164C60"/>
    <w:rsid w:val="001711E0"/>
    <w:rsid w:val="001725F4"/>
    <w:rsid w:val="00180957"/>
    <w:rsid w:val="00187DD6"/>
    <w:rsid w:val="00192627"/>
    <w:rsid w:val="001942E0"/>
    <w:rsid w:val="001A6194"/>
    <w:rsid w:val="001A67E8"/>
    <w:rsid w:val="001B2BDF"/>
    <w:rsid w:val="001B3601"/>
    <w:rsid w:val="001B5805"/>
    <w:rsid w:val="001B69AA"/>
    <w:rsid w:val="001C01CB"/>
    <w:rsid w:val="001C34D6"/>
    <w:rsid w:val="001C59B5"/>
    <w:rsid w:val="001D0C4E"/>
    <w:rsid w:val="001D5584"/>
    <w:rsid w:val="001E1AEC"/>
    <w:rsid w:val="001E1B7A"/>
    <w:rsid w:val="001E2AB4"/>
    <w:rsid w:val="001E5F2C"/>
    <w:rsid w:val="001F075D"/>
    <w:rsid w:val="001F2757"/>
    <w:rsid w:val="001F4F1F"/>
    <w:rsid w:val="001F5907"/>
    <w:rsid w:val="001F6DEC"/>
    <w:rsid w:val="002016B0"/>
    <w:rsid w:val="00213F17"/>
    <w:rsid w:val="00213F8D"/>
    <w:rsid w:val="00214699"/>
    <w:rsid w:val="00214DA7"/>
    <w:rsid w:val="00220456"/>
    <w:rsid w:val="0022070B"/>
    <w:rsid w:val="002242FC"/>
    <w:rsid w:val="00226477"/>
    <w:rsid w:val="0023353B"/>
    <w:rsid w:val="002349F2"/>
    <w:rsid w:val="0023741B"/>
    <w:rsid w:val="00240E3D"/>
    <w:rsid w:val="002437D1"/>
    <w:rsid w:val="002473D8"/>
    <w:rsid w:val="00250B7E"/>
    <w:rsid w:val="00251CA0"/>
    <w:rsid w:val="00252FDC"/>
    <w:rsid w:val="0025334D"/>
    <w:rsid w:val="002602F0"/>
    <w:rsid w:val="00263942"/>
    <w:rsid w:val="0026584F"/>
    <w:rsid w:val="00267E00"/>
    <w:rsid w:val="00267E98"/>
    <w:rsid w:val="002711F4"/>
    <w:rsid w:val="0027302C"/>
    <w:rsid w:val="002743E9"/>
    <w:rsid w:val="00274A39"/>
    <w:rsid w:val="00275790"/>
    <w:rsid w:val="002810EC"/>
    <w:rsid w:val="00283A00"/>
    <w:rsid w:val="002853C9"/>
    <w:rsid w:val="00287A2B"/>
    <w:rsid w:val="00292151"/>
    <w:rsid w:val="00292BEA"/>
    <w:rsid w:val="0029395E"/>
    <w:rsid w:val="002A234B"/>
    <w:rsid w:val="002A2E48"/>
    <w:rsid w:val="002A5E7D"/>
    <w:rsid w:val="002A753A"/>
    <w:rsid w:val="002B0A51"/>
    <w:rsid w:val="002B1FE1"/>
    <w:rsid w:val="002B31FF"/>
    <w:rsid w:val="002B4205"/>
    <w:rsid w:val="002B6187"/>
    <w:rsid w:val="002C071A"/>
    <w:rsid w:val="002C12EC"/>
    <w:rsid w:val="002C2172"/>
    <w:rsid w:val="002C30AD"/>
    <w:rsid w:val="002C794C"/>
    <w:rsid w:val="002C7C4B"/>
    <w:rsid w:val="002D10DC"/>
    <w:rsid w:val="002D3767"/>
    <w:rsid w:val="002D535E"/>
    <w:rsid w:val="002E2265"/>
    <w:rsid w:val="002E5283"/>
    <w:rsid w:val="002E6AA1"/>
    <w:rsid w:val="002F4494"/>
    <w:rsid w:val="002F642F"/>
    <w:rsid w:val="002F7052"/>
    <w:rsid w:val="002F7565"/>
    <w:rsid w:val="003017CD"/>
    <w:rsid w:val="0030557A"/>
    <w:rsid w:val="00313D9D"/>
    <w:rsid w:val="00317451"/>
    <w:rsid w:val="00321A32"/>
    <w:rsid w:val="00330A85"/>
    <w:rsid w:val="003338DB"/>
    <w:rsid w:val="0033484B"/>
    <w:rsid w:val="00335A62"/>
    <w:rsid w:val="00337344"/>
    <w:rsid w:val="00341C41"/>
    <w:rsid w:val="003502C6"/>
    <w:rsid w:val="00352ED4"/>
    <w:rsid w:val="003569BA"/>
    <w:rsid w:val="00357633"/>
    <w:rsid w:val="00367E70"/>
    <w:rsid w:val="00370050"/>
    <w:rsid w:val="00371A7C"/>
    <w:rsid w:val="003727C1"/>
    <w:rsid w:val="00376AA0"/>
    <w:rsid w:val="00377C24"/>
    <w:rsid w:val="00377F6A"/>
    <w:rsid w:val="003875CE"/>
    <w:rsid w:val="003930C4"/>
    <w:rsid w:val="0039333D"/>
    <w:rsid w:val="003A1CC0"/>
    <w:rsid w:val="003A3AB6"/>
    <w:rsid w:val="003A6E4E"/>
    <w:rsid w:val="003A7B93"/>
    <w:rsid w:val="003B0E27"/>
    <w:rsid w:val="003B131E"/>
    <w:rsid w:val="003B148A"/>
    <w:rsid w:val="003B7652"/>
    <w:rsid w:val="003C0046"/>
    <w:rsid w:val="003C0224"/>
    <w:rsid w:val="003C04DF"/>
    <w:rsid w:val="003C16F3"/>
    <w:rsid w:val="003C3902"/>
    <w:rsid w:val="003C6461"/>
    <w:rsid w:val="003E382D"/>
    <w:rsid w:val="003F32DE"/>
    <w:rsid w:val="003F4A7E"/>
    <w:rsid w:val="00403EE1"/>
    <w:rsid w:val="004043E6"/>
    <w:rsid w:val="00405437"/>
    <w:rsid w:val="00411F72"/>
    <w:rsid w:val="00414B58"/>
    <w:rsid w:val="00417E97"/>
    <w:rsid w:val="004248F4"/>
    <w:rsid w:val="00427A51"/>
    <w:rsid w:val="00441C2E"/>
    <w:rsid w:val="00441E5E"/>
    <w:rsid w:val="004436A1"/>
    <w:rsid w:val="00444441"/>
    <w:rsid w:val="0045105F"/>
    <w:rsid w:val="00451490"/>
    <w:rsid w:val="00452815"/>
    <w:rsid w:val="0045612F"/>
    <w:rsid w:val="004563F0"/>
    <w:rsid w:val="0045644C"/>
    <w:rsid w:val="0045681E"/>
    <w:rsid w:val="004653B0"/>
    <w:rsid w:val="00466343"/>
    <w:rsid w:val="00470EEA"/>
    <w:rsid w:val="00472512"/>
    <w:rsid w:val="00472B8D"/>
    <w:rsid w:val="00474474"/>
    <w:rsid w:val="004753BC"/>
    <w:rsid w:val="00476B11"/>
    <w:rsid w:val="00477A96"/>
    <w:rsid w:val="004844BB"/>
    <w:rsid w:val="00484821"/>
    <w:rsid w:val="00485FF9"/>
    <w:rsid w:val="0049598A"/>
    <w:rsid w:val="0049750B"/>
    <w:rsid w:val="004A0091"/>
    <w:rsid w:val="004A20CE"/>
    <w:rsid w:val="004A595D"/>
    <w:rsid w:val="004A7EAF"/>
    <w:rsid w:val="004B1D8A"/>
    <w:rsid w:val="004B3C2F"/>
    <w:rsid w:val="004B4C91"/>
    <w:rsid w:val="004B6948"/>
    <w:rsid w:val="004C1F1B"/>
    <w:rsid w:val="004C2792"/>
    <w:rsid w:val="004C2FDD"/>
    <w:rsid w:val="004C5EC6"/>
    <w:rsid w:val="004C70F1"/>
    <w:rsid w:val="004D52FA"/>
    <w:rsid w:val="004E29CC"/>
    <w:rsid w:val="004E2A6F"/>
    <w:rsid w:val="004E3698"/>
    <w:rsid w:val="004E5655"/>
    <w:rsid w:val="004F14DC"/>
    <w:rsid w:val="004F3F4E"/>
    <w:rsid w:val="004F420E"/>
    <w:rsid w:val="004F5183"/>
    <w:rsid w:val="00501AC7"/>
    <w:rsid w:val="00506AE2"/>
    <w:rsid w:val="00507022"/>
    <w:rsid w:val="00510A1E"/>
    <w:rsid w:val="00513D8C"/>
    <w:rsid w:val="00515751"/>
    <w:rsid w:val="00523041"/>
    <w:rsid w:val="005252E1"/>
    <w:rsid w:val="005303FE"/>
    <w:rsid w:val="00531A3D"/>
    <w:rsid w:val="00534CDF"/>
    <w:rsid w:val="00535AE9"/>
    <w:rsid w:val="0054386E"/>
    <w:rsid w:val="00547DA5"/>
    <w:rsid w:val="00550CE4"/>
    <w:rsid w:val="00550E22"/>
    <w:rsid w:val="00557F2D"/>
    <w:rsid w:val="00560665"/>
    <w:rsid w:val="00562D83"/>
    <w:rsid w:val="00565B2E"/>
    <w:rsid w:val="005701C1"/>
    <w:rsid w:val="00576B66"/>
    <w:rsid w:val="005841C1"/>
    <w:rsid w:val="005844A7"/>
    <w:rsid w:val="00586996"/>
    <w:rsid w:val="00586E49"/>
    <w:rsid w:val="0059098E"/>
    <w:rsid w:val="00590CA1"/>
    <w:rsid w:val="005912CB"/>
    <w:rsid w:val="00592D6F"/>
    <w:rsid w:val="005A0875"/>
    <w:rsid w:val="005A1EE3"/>
    <w:rsid w:val="005A474E"/>
    <w:rsid w:val="005A534E"/>
    <w:rsid w:val="005A62E8"/>
    <w:rsid w:val="005B0518"/>
    <w:rsid w:val="005B1889"/>
    <w:rsid w:val="005B3363"/>
    <w:rsid w:val="005C356E"/>
    <w:rsid w:val="005C431D"/>
    <w:rsid w:val="005D38D8"/>
    <w:rsid w:val="005D539C"/>
    <w:rsid w:val="005E414E"/>
    <w:rsid w:val="005E6B26"/>
    <w:rsid w:val="005F0050"/>
    <w:rsid w:val="005F0687"/>
    <w:rsid w:val="005F0DF4"/>
    <w:rsid w:val="005F3687"/>
    <w:rsid w:val="005F4000"/>
    <w:rsid w:val="005F4B97"/>
    <w:rsid w:val="0060158B"/>
    <w:rsid w:val="00610A84"/>
    <w:rsid w:val="00614037"/>
    <w:rsid w:val="00616E19"/>
    <w:rsid w:val="006203CD"/>
    <w:rsid w:val="00622A87"/>
    <w:rsid w:val="00624D60"/>
    <w:rsid w:val="006278C8"/>
    <w:rsid w:val="0063095F"/>
    <w:rsid w:val="006347A0"/>
    <w:rsid w:val="0063676A"/>
    <w:rsid w:val="00642162"/>
    <w:rsid w:val="0064232D"/>
    <w:rsid w:val="00644312"/>
    <w:rsid w:val="006559F6"/>
    <w:rsid w:val="006574F3"/>
    <w:rsid w:val="0066019C"/>
    <w:rsid w:val="00660A38"/>
    <w:rsid w:val="00660EBB"/>
    <w:rsid w:val="006629D3"/>
    <w:rsid w:val="00662C79"/>
    <w:rsid w:val="00663134"/>
    <w:rsid w:val="00664585"/>
    <w:rsid w:val="006674B4"/>
    <w:rsid w:val="00667D5D"/>
    <w:rsid w:val="006701B8"/>
    <w:rsid w:val="0067134C"/>
    <w:rsid w:val="00673004"/>
    <w:rsid w:val="006732BF"/>
    <w:rsid w:val="006766DB"/>
    <w:rsid w:val="00676F0C"/>
    <w:rsid w:val="006806CD"/>
    <w:rsid w:val="00681B28"/>
    <w:rsid w:val="0068243C"/>
    <w:rsid w:val="00684239"/>
    <w:rsid w:val="00686A08"/>
    <w:rsid w:val="00690B55"/>
    <w:rsid w:val="006945EF"/>
    <w:rsid w:val="00695840"/>
    <w:rsid w:val="006A21B3"/>
    <w:rsid w:val="006B0B88"/>
    <w:rsid w:val="006B5A60"/>
    <w:rsid w:val="006B6FFE"/>
    <w:rsid w:val="006B723F"/>
    <w:rsid w:val="006B78ED"/>
    <w:rsid w:val="006B7B30"/>
    <w:rsid w:val="006C1FCD"/>
    <w:rsid w:val="006C6EF4"/>
    <w:rsid w:val="006C7B9C"/>
    <w:rsid w:val="006D4CAA"/>
    <w:rsid w:val="006E196B"/>
    <w:rsid w:val="006E2529"/>
    <w:rsid w:val="006E2BEA"/>
    <w:rsid w:val="006E5223"/>
    <w:rsid w:val="006E7DE0"/>
    <w:rsid w:val="00703675"/>
    <w:rsid w:val="00712E3E"/>
    <w:rsid w:val="00714266"/>
    <w:rsid w:val="0071446E"/>
    <w:rsid w:val="007174B5"/>
    <w:rsid w:val="00735D85"/>
    <w:rsid w:val="007415FD"/>
    <w:rsid w:val="00743AFE"/>
    <w:rsid w:val="00745C8E"/>
    <w:rsid w:val="00747F47"/>
    <w:rsid w:val="00750E6F"/>
    <w:rsid w:val="00753BA4"/>
    <w:rsid w:val="007545A2"/>
    <w:rsid w:val="00756B28"/>
    <w:rsid w:val="00760768"/>
    <w:rsid w:val="00761014"/>
    <w:rsid w:val="00762EB3"/>
    <w:rsid w:val="0076304B"/>
    <w:rsid w:val="00765549"/>
    <w:rsid w:val="007709E4"/>
    <w:rsid w:val="007713D1"/>
    <w:rsid w:val="00780054"/>
    <w:rsid w:val="00782030"/>
    <w:rsid w:val="0078311A"/>
    <w:rsid w:val="00783AC0"/>
    <w:rsid w:val="0078511C"/>
    <w:rsid w:val="0079475C"/>
    <w:rsid w:val="0079480A"/>
    <w:rsid w:val="007A0A0A"/>
    <w:rsid w:val="007A0A3E"/>
    <w:rsid w:val="007A6492"/>
    <w:rsid w:val="007B3FCB"/>
    <w:rsid w:val="007B5C28"/>
    <w:rsid w:val="007C01B0"/>
    <w:rsid w:val="007C25F8"/>
    <w:rsid w:val="007C35F5"/>
    <w:rsid w:val="007C4764"/>
    <w:rsid w:val="007C4BF2"/>
    <w:rsid w:val="007C70B8"/>
    <w:rsid w:val="007C725C"/>
    <w:rsid w:val="007D0B57"/>
    <w:rsid w:val="007D3DDA"/>
    <w:rsid w:val="007D3F72"/>
    <w:rsid w:val="007D52BD"/>
    <w:rsid w:val="007D65CD"/>
    <w:rsid w:val="007D6D5F"/>
    <w:rsid w:val="007D77F8"/>
    <w:rsid w:val="007D7A72"/>
    <w:rsid w:val="007E0933"/>
    <w:rsid w:val="007E23D1"/>
    <w:rsid w:val="007E241E"/>
    <w:rsid w:val="007E2E4A"/>
    <w:rsid w:val="007F592F"/>
    <w:rsid w:val="007F7EE9"/>
    <w:rsid w:val="00810143"/>
    <w:rsid w:val="00814182"/>
    <w:rsid w:val="00815F44"/>
    <w:rsid w:val="00815F8E"/>
    <w:rsid w:val="00824CE3"/>
    <w:rsid w:val="00825638"/>
    <w:rsid w:val="00830430"/>
    <w:rsid w:val="00830ADD"/>
    <w:rsid w:val="00831B2E"/>
    <w:rsid w:val="0083523E"/>
    <w:rsid w:val="008357A6"/>
    <w:rsid w:val="00836E4C"/>
    <w:rsid w:val="00841832"/>
    <w:rsid w:val="00841EB1"/>
    <w:rsid w:val="0084675A"/>
    <w:rsid w:val="00851379"/>
    <w:rsid w:val="0085212D"/>
    <w:rsid w:val="00853DDB"/>
    <w:rsid w:val="00854452"/>
    <w:rsid w:val="00855D83"/>
    <w:rsid w:val="00857E5C"/>
    <w:rsid w:val="00862017"/>
    <w:rsid w:val="008634E9"/>
    <w:rsid w:val="00864AB4"/>
    <w:rsid w:val="00865A13"/>
    <w:rsid w:val="00866779"/>
    <w:rsid w:val="00866A5D"/>
    <w:rsid w:val="008678F1"/>
    <w:rsid w:val="00867CAC"/>
    <w:rsid w:val="00871063"/>
    <w:rsid w:val="0087556A"/>
    <w:rsid w:val="0087794C"/>
    <w:rsid w:val="00883939"/>
    <w:rsid w:val="008839DF"/>
    <w:rsid w:val="008856D4"/>
    <w:rsid w:val="00885ADA"/>
    <w:rsid w:val="00891475"/>
    <w:rsid w:val="00891E67"/>
    <w:rsid w:val="00894181"/>
    <w:rsid w:val="008946AC"/>
    <w:rsid w:val="00894CC0"/>
    <w:rsid w:val="00895922"/>
    <w:rsid w:val="0089623A"/>
    <w:rsid w:val="008A0170"/>
    <w:rsid w:val="008A1A09"/>
    <w:rsid w:val="008A2751"/>
    <w:rsid w:val="008A4449"/>
    <w:rsid w:val="008A5F50"/>
    <w:rsid w:val="008B2DAE"/>
    <w:rsid w:val="008B551B"/>
    <w:rsid w:val="008B61F3"/>
    <w:rsid w:val="008C4302"/>
    <w:rsid w:val="008C5020"/>
    <w:rsid w:val="008C6585"/>
    <w:rsid w:val="008D0D54"/>
    <w:rsid w:val="008D2FFF"/>
    <w:rsid w:val="008E11B8"/>
    <w:rsid w:val="008E2C27"/>
    <w:rsid w:val="008E40DF"/>
    <w:rsid w:val="008E5256"/>
    <w:rsid w:val="008E7092"/>
    <w:rsid w:val="008F0303"/>
    <w:rsid w:val="008F4029"/>
    <w:rsid w:val="009075FF"/>
    <w:rsid w:val="0091015F"/>
    <w:rsid w:val="00912BB1"/>
    <w:rsid w:val="00917587"/>
    <w:rsid w:val="00920CFE"/>
    <w:rsid w:val="00924A71"/>
    <w:rsid w:val="00935988"/>
    <w:rsid w:val="00935AA4"/>
    <w:rsid w:val="009366BF"/>
    <w:rsid w:val="00937036"/>
    <w:rsid w:val="00945A9B"/>
    <w:rsid w:val="00945BCA"/>
    <w:rsid w:val="00947C59"/>
    <w:rsid w:val="00953E54"/>
    <w:rsid w:val="00955BC8"/>
    <w:rsid w:val="00960EFB"/>
    <w:rsid w:val="009630E3"/>
    <w:rsid w:val="00967F25"/>
    <w:rsid w:val="00970B4A"/>
    <w:rsid w:val="00974F8F"/>
    <w:rsid w:val="00975527"/>
    <w:rsid w:val="00981155"/>
    <w:rsid w:val="00983907"/>
    <w:rsid w:val="00986139"/>
    <w:rsid w:val="00990FE5"/>
    <w:rsid w:val="00993EEA"/>
    <w:rsid w:val="009A0752"/>
    <w:rsid w:val="009A178C"/>
    <w:rsid w:val="009A4555"/>
    <w:rsid w:val="009A61A8"/>
    <w:rsid w:val="009A66E9"/>
    <w:rsid w:val="009A7617"/>
    <w:rsid w:val="009B1398"/>
    <w:rsid w:val="009B1E39"/>
    <w:rsid w:val="009B4D07"/>
    <w:rsid w:val="009C2DB7"/>
    <w:rsid w:val="009C47C6"/>
    <w:rsid w:val="009C4FB1"/>
    <w:rsid w:val="009C5366"/>
    <w:rsid w:val="009C673E"/>
    <w:rsid w:val="009D1ABF"/>
    <w:rsid w:val="009D1AC5"/>
    <w:rsid w:val="009D33CA"/>
    <w:rsid w:val="009D6F52"/>
    <w:rsid w:val="009D7366"/>
    <w:rsid w:val="009D7B27"/>
    <w:rsid w:val="009E2CD2"/>
    <w:rsid w:val="009F704F"/>
    <w:rsid w:val="009F782A"/>
    <w:rsid w:val="009F7BB0"/>
    <w:rsid w:val="00A017EE"/>
    <w:rsid w:val="00A04D8D"/>
    <w:rsid w:val="00A06DF6"/>
    <w:rsid w:val="00A10BC3"/>
    <w:rsid w:val="00A10BEA"/>
    <w:rsid w:val="00A11522"/>
    <w:rsid w:val="00A1193F"/>
    <w:rsid w:val="00A13D4C"/>
    <w:rsid w:val="00A144F7"/>
    <w:rsid w:val="00A15EA9"/>
    <w:rsid w:val="00A1792E"/>
    <w:rsid w:val="00A17B0B"/>
    <w:rsid w:val="00A24B70"/>
    <w:rsid w:val="00A25CBF"/>
    <w:rsid w:val="00A308A9"/>
    <w:rsid w:val="00A32091"/>
    <w:rsid w:val="00A32C54"/>
    <w:rsid w:val="00A360CF"/>
    <w:rsid w:val="00A3686A"/>
    <w:rsid w:val="00A40248"/>
    <w:rsid w:val="00A4424B"/>
    <w:rsid w:val="00A51B65"/>
    <w:rsid w:val="00A52CC0"/>
    <w:rsid w:val="00A5380A"/>
    <w:rsid w:val="00A55E2A"/>
    <w:rsid w:val="00A55F25"/>
    <w:rsid w:val="00A57668"/>
    <w:rsid w:val="00A60624"/>
    <w:rsid w:val="00A607DE"/>
    <w:rsid w:val="00A64412"/>
    <w:rsid w:val="00A6575A"/>
    <w:rsid w:val="00A65DC0"/>
    <w:rsid w:val="00A66F93"/>
    <w:rsid w:val="00A72BAE"/>
    <w:rsid w:val="00A72E81"/>
    <w:rsid w:val="00A76829"/>
    <w:rsid w:val="00A7698B"/>
    <w:rsid w:val="00A83FE6"/>
    <w:rsid w:val="00A85153"/>
    <w:rsid w:val="00A90088"/>
    <w:rsid w:val="00A91588"/>
    <w:rsid w:val="00A94C67"/>
    <w:rsid w:val="00A95E79"/>
    <w:rsid w:val="00A975D0"/>
    <w:rsid w:val="00AA052E"/>
    <w:rsid w:val="00AA41F2"/>
    <w:rsid w:val="00AC0066"/>
    <w:rsid w:val="00AC51E0"/>
    <w:rsid w:val="00AC7600"/>
    <w:rsid w:val="00AD441D"/>
    <w:rsid w:val="00AE3511"/>
    <w:rsid w:val="00AE70A6"/>
    <w:rsid w:val="00AF079D"/>
    <w:rsid w:val="00AF2D6F"/>
    <w:rsid w:val="00AF4174"/>
    <w:rsid w:val="00AF6904"/>
    <w:rsid w:val="00AF6A37"/>
    <w:rsid w:val="00AF7CC1"/>
    <w:rsid w:val="00B00770"/>
    <w:rsid w:val="00B03F56"/>
    <w:rsid w:val="00B0473F"/>
    <w:rsid w:val="00B064AD"/>
    <w:rsid w:val="00B12D44"/>
    <w:rsid w:val="00B1451E"/>
    <w:rsid w:val="00B15C39"/>
    <w:rsid w:val="00B20004"/>
    <w:rsid w:val="00B20997"/>
    <w:rsid w:val="00B24433"/>
    <w:rsid w:val="00B24EEC"/>
    <w:rsid w:val="00B24F8D"/>
    <w:rsid w:val="00B254CF"/>
    <w:rsid w:val="00B313AD"/>
    <w:rsid w:val="00B330AC"/>
    <w:rsid w:val="00B41DD9"/>
    <w:rsid w:val="00B5029C"/>
    <w:rsid w:val="00B507B9"/>
    <w:rsid w:val="00B510F9"/>
    <w:rsid w:val="00B51F8A"/>
    <w:rsid w:val="00B52BFE"/>
    <w:rsid w:val="00B531FD"/>
    <w:rsid w:val="00B53336"/>
    <w:rsid w:val="00B53521"/>
    <w:rsid w:val="00B60C53"/>
    <w:rsid w:val="00B60F4D"/>
    <w:rsid w:val="00B64CC3"/>
    <w:rsid w:val="00B65902"/>
    <w:rsid w:val="00B66A3E"/>
    <w:rsid w:val="00B70EC3"/>
    <w:rsid w:val="00B7499B"/>
    <w:rsid w:val="00B82E20"/>
    <w:rsid w:val="00B870F0"/>
    <w:rsid w:val="00B904F2"/>
    <w:rsid w:val="00B9109F"/>
    <w:rsid w:val="00B921A1"/>
    <w:rsid w:val="00B9529C"/>
    <w:rsid w:val="00B95F65"/>
    <w:rsid w:val="00B97280"/>
    <w:rsid w:val="00BA1B8F"/>
    <w:rsid w:val="00BA597A"/>
    <w:rsid w:val="00BA6B1E"/>
    <w:rsid w:val="00BA7C1E"/>
    <w:rsid w:val="00BB3CFC"/>
    <w:rsid w:val="00BB76E1"/>
    <w:rsid w:val="00BB7AD7"/>
    <w:rsid w:val="00BC366F"/>
    <w:rsid w:val="00BC3E44"/>
    <w:rsid w:val="00BC50C4"/>
    <w:rsid w:val="00BC536D"/>
    <w:rsid w:val="00BC59DC"/>
    <w:rsid w:val="00BD1AC8"/>
    <w:rsid w:val="00BD2B2A"/>
    <w:rsid w:val="00BD7375"/>
    <w:rsid w:val="00BE083B"/>
    <w:rsid w:val="00BE1885"/>
    <w:rsid w:val="00BE548B"/>
    <w:rsid w:val="00BE564B"/>
    <w:rsid w:val="00BE56F2"/>
    <w:rsid w:val="00BE7315"/>
    <w:rsid w:val="00BF097F"/>
    <w:rsid w:val="00BF4E69"/>
    <w:rsid w:val="00BF576D"/>
    <w:rsid w:val="00BF5AE2"/>
    <w:rsid w:val="00BF6B0A"/>
    <w:rsid w:val="00BF6D0E"/>
    <w:rsid w:val="00C03B7F"/>
    <w:rsid w:val="00C03C22"/>
    <w:rsid w:val="00C0702E"/>
    <w:rsid w:val="00C07F96"/>
    <w:rsid w:val="00C105EB"/>
    <w:rsid w:val="00C1255B"/>
    <w:rsid w:val="00C12880"/>
    <w:rsid w:val="00C149A6"/>
    <w:rsid w:val="00C17E91"/>
    <w:rsid w:val="00C22EFB"/>
    <w:rsid w:val="00C3134B"/>
    <w:rsid w:val="00C31496"/>
    <w:rsid w:val="00C3263D"/>
    <w:rsid w:val="00C35FD8"/>
    <w:rsid w:val="00C40765"/>
    <w:rsid w:val="00C41638"/>
    <w:rsid w:val="00C56448"/>
    <w:rsid w:val="00C62EB4"/>
    <w:rsid w:val="00C63518"/>
    <w:rsid w:val="00C64F78"/>
    <w:rsid w:val="00C671DC"/>
    <w:rsid w:val="00C721CC"/>
    <w:rsid w:val="00C73178"/>
    <w:rsid w:val="00C80AA5"/>
    <w:rsid w:val="00C81CD4"/>
    <w:rsid w:val="00C84D63"/>
    <w:rsid w:val="00C901CA"/>
    <w:rsid w:val="00C92BFD"/>
    <w:rsid w:val="00C92DE1"/>
    <w:rsid w:val="00C941AA"/>
    <w:rsid w:val="00CA2395"/>
    <w:rsid w:val="00CA5388"/>
    <w:rsid w:val="00CA61A9"/>
    <w:rsid w:val="00CB27F3"/>
    <w:rsid w:val="00CB2B3F"/>
    <w:rsid w:val="00CB7B4F"/>
    <w:rsid w:val="00CC0181"/>
    <w:rsid w:val="00CC1A94"/>
    <w:rsid w:val="00CD356B"/>
    <w:rsid w:val="00CD54A8"/>
    <w:rsid w:val="00CD7A5C"/>
    <w:rsid w:val="00CE221C"/>
    <w:rsid w:val="00CF3782"/>
    <w:rsid w:val="00CF5A79"/>
    <w:rsid w:val="00D02F3E"/>
    <w:rsid w:val="00D11C88"/>
    <w:rsid w:val="00D15696"/>
    <w:rsid w:val="00D2166E"/>
    <w:rsid w:val="00D234A0"/>
    <w:rsid w:val="00D2401B"/>
    <w:rsid w:val="00D266DD"/>
    <w:rsid w:val="00D30B4E"/>
    <w:rsid w:val="00D318E1"/>
    <w:rsid w:val="00D328E8"/>
    <w:rsid w:val="00D33155"/>
    <w:rsid w:val="00D45346"/>
    <w:rsid w:val="00D50C6B"/>
    <w:rsid w:val="00D55D33"/>
    <w:rsid w:val="00D5620C"/>
    <w:rsid w:val="00D56B5F"/>
    <w:rsid w:val="00D6055A"/>
    <w:rsid w:val="00D65290"/>
    <w:rsid w:val="00D65879"/>
    <w:rsid w:val="00D671FC"/>
    <w:rsid w:val="00D71561"/>
    <w:rsid w:val="00D77CA3"/>
    <w:rsid w:val="00D81AA5"/>
    <w:rsid w:val="00D82545"/>
    <w:rsid w:val="00D854FA"/>
    <w:rsid w:val="00D87D04"/>
    <w:rsid w:val="00D90603"/>
    <w:rsid w:val="00D940D9"/>
    <w:rsid w:val="00D94BA7"/>
    <w:rsid w:val="00D94D67"/>
    <w:rsid w:val="00D9564D"/>
    <w:rsid w:val="00DA18CB"/>
    <w:rsid w:val="00DA361F"/>
    <w:rsid w:val="00DA42FF"/>
    <w:rsid w:val="00DA4784"/>
    <w:rsid w:val="00DA4909"/>
    <w:rsid w:val="00DA4F8A"/>
    <w:rsid w:val="00DC31A2"/>
    <w:rsid w:val="00DC3DE6"/>
    <w:rsid w:val="00DC5293"/>
    <w:rsid w:val="00DD2F8F"/>
    <w:rsid w:val="00DD3D86"/>
    <w:rsid w:val="00DD52ED"/>
    <w:rsid w:val="00DD6E2C"/>
    <w:rsid w:val="00DE254E"/>
    <w:rsid w:val="00DE438E"/>
    <w:rsid w:val="00DE78EE"/>
    <w:rsid w:val="00DF3175"/>
    <w:rsid w:val="00DF31B5"/>
    <w:rsid w:val="00DF3E3C"/>
    <w:rsid w:val="00DF52A1"/>
    <w:rsid w:val="00DF6C02"/>
    <w:rsid w:val="00E00795"/>
    <w:rsid w:val="00E02464"/>
    <w:rsid w:val="00E0259E"/>
    <w:rsid w:val="00E147F7"/>
    <w:rsid w:val="00E165E0"/>
    <w:rsid w:val="00E16E8E"/>
    <w:rsid w:val="00E2219E"/>
    <w:rsid w:val="00E262E5"/>
    <w:rsid w:val="00E31CA6"/>
    <w:rsid w:val="00E31F4D"/>
    <w:rsid w:val="00E33871"/>
    <w:rsid w:val="00E359B7"/>
    <w:rsid w:val="00E371D4"/>
    <w:rsid w:val="00E4656F"/>
    <w:rsid w:val="00E504DB"/>
    <w:rsid w:val="00E510AC"/>
    <w:rsid w:val="00E53014"/>
    <w:rsid w:val="00E53375"/>
    <w:rsid w:val="00E53B5A"/>
    <w:rsid w:val="00E54719"/>
    <w:rsid w:val="00E54CDC"/>
    <w:rsid w:val="00E55E0B"/>
    <w:rsid w:val="00E60584"/>
    <w:rsid w:val="00E60E14"/>
    <w:rsid w:val="00E64096"/>
    <w:rsid w:val="00E6462B"/>
    <w:rsid w:val="00E64A68"/>
    <w:rsid w:val="00E64B0F"/>
    <w:rsid w:val="00E67B12"/>
    <w:rsid w:val="00E67FF3"/>
    <w:rsid w:val="00E70DE6"/>
    <w:rsid w:val="00E71B13"/>
    <w:rsid w:val="00E72ECE"/>
    <w:rsid w:val="00E73352"/>
    <w:rsid w:val="00E90306"/>
    <w:rsid w:val="00E91D73"/>
    <w:rsid w:val="00E92941"/>
    <w:rsid w:val="00E96EFB"/>
    <w:rsid w:val="00EA02AA"/>
    <w:rsid w:val="00EA0B93"/>
    <w:rsid w:val="00EA7D8C"/>
    <w:rsid w:val="00EA7D99"/>
    <w:rsid w:val="00EB62C5"/>
    <w:rsid w:val="00EB6AA6"/>
    <w:rsid w:val="00EB6E7E"/>
    <w:rsid w:val="00EC0FC7"/>
    <w:rsid w:val="00EC13FE"/>
    <w:rsid w:val="00EC1C5F"/>
    <w:rsid w:val="00EC34BD"/>
    <w:rsid w:val="00EC4397"/>
    <w:rsid w:val="00EC5968"/>
    <w:rsid w:val="00ED3FC7"/>
    <w:rsid w:val="00EE247F"/>
    <w:rsid w:val="00EE3762"/>
    <w:rsid w:val="00EE4230"/>
    <w:rsid w:val="00EE5A18"/>
    <w:rsid w:val="00EF491E"/>
    <w:rsid w:val="00EF762A"/>
    <w:rsid w:val="00F001E3"/>
    <w:rsid w:val="00F017B3"/>
    <w:rsid w:val="00F01A32"/>
    <w:rsid w:val="00F03041"/>
    <w:rsid w:val="00F0472E"/>
    <w:rsid w:val="00F13AFF"/>
    <w:rsid w:val="00F1438F"/>
    <w:rsid w:val="00F16253"/>
    <w:rsid w:val="00F17902"/>
    <w:rsid w:val="00F228A8"/>
    <w:rsid w:val="00F23476"/>
    <w:rsid w:val="00F23614"/>
    <w:rsid w:val="00F2408A"/>
    <w:rsid w:val="00F246F7"/>
    <w:rsid w:val="00F248A9"/>
    <w:rsid w:val="00F341D3"/>
    <w:rsid w:val="00F34AF2"/>
    <w:rsid w:val="00F40C65"/>
    <w:rsid w:val="00F472CF"/>
    <w:rsid w:val="00F52F83"/>
    <w:rsid w:val="00F53CDA"/>
    <w:rsid w:val="00F53F4D"/>
    <w:rsid w:val="00F5452F"/>
    <w:rsid w:val="00F556AE"/>
    <w:rsid w:val="00F63A78"/>
    <w:rsid w:val="00F63BAA"/>
    <w:rsid w:val="00F705C3"/>
    <w:rsid w:val="00F70BB6"/>
    <w:rsid w:val="00F7742B"/>
    <w:rsid w:val="00F77F06"/>
    <w:rsid w:val="00F8491A"/>
    <w:rsid w:val="00F855B3"/>
    <w:rsid w:val="00F85BFE"/>
    <w:rsid w:val="00F87B76"/>
    <w:rsid w:val="00F93AD2"/>
    <w:rsid w:val="00F944FA"/>
    <w:rsid w:val="00FA0CD1"/>
    <w:rsid w:val="00FA1D8D"/>
    <w:rsid w:val="00FB0AC0"/>
    <w:rsid w:val="00FB12B3"/>
    <w:rsid w:val="00FB4323"/>
    <w:rsid w:val="00FB6751"/>
    <w:rsid w:val="00FB7D8C"/>
    <w:rsid w:val="00FB7F8A"/>
    <w:rsid w:val="00FC06E7"/>
    <w:rsid w:val="00FC1D56"/>
    <w:rsid w:val="00FC1E3E"/>
    <w:rsid w:val="00FC37F1"/>
    <w:rsid w:val="00FC4ADC"/>
    <w:rsid w:val="00FC4ADF"/>
    <w:rsid w:val="00FD16E4"/>
    <w:rsid w:val="00FD2846"/>
    <w:rsid w:val="00FD3023"/>
    <w:rsid w:val="00FD3AA5"/>
    <w:rsid w:val="00FD3EA9"/>
    <w:rsid w:val="00FD4911"/>
    <w:rsid w:val="00FD7E03"/>
    <w:rsid w:val="00FE0D54"/>
    <w:rsid w:val="00FE19FF"/>
    <w:rsid w:val="00FE7AE1"/>
    <w:rsid w:val="00FF7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2"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able of authorities" w:uiPriority="0"/>
    <w:lsdException w:name="toa heading" w:uiPriority="0"/>
    <w:lsdException w:name="List" w:uiPriority="2"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1"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875CE"/>
    <w:pPr>
      <w:overflowPunct w:val="0"/>
      <w:autoSpaceDE w:val="0"/>
      <w:autoSpaceDN w:val="0"/>
      <w:adjustRightInd w:val="0"/>
      <w:jc w:val="both"/>
      <w:textAlignment w:val="baseline"/>
    </w:pPr>
  </w:style>
  <w:style w:type="paragraph" w:styleId="Heading1">
    <w:name w:val="heading 1"/>
    <w:basedOn w:val="Normal"/>
    <w:link w:val="Heading1Char"/>
    <w:qFormat/>
    <w:rsid w:val="003875CE"/>
    <w:pPr>
      <w:tabs>
        <w:tab w:val="right" w:pos="1440"/>
        <w:tab w:val="left" w:pos="1800"/>
      </w:tabs>
      <w:overflowPunct/>
      <w:autoSpaceDE/>
      <w:autoSpaceDN/>
      <w:adjustRightInd/>
      <w:spacing w:before="120" w:after="240"/>
      <w:jc w:val="center"/>
      <w:textAlignment w:val="auto"/>
      <w:outlineLvl w:val="0"/>
    </w:pPr>
    <w:rPr>
      <w:rFonts w:ascii="Times" w:hAnsi="Times"/>
      <w:caps/>
      <w:kern w:val="28"/>
    </w:rPr>
  </w:style>
  <w:style w:type="paragraph" w:styleId="Heading2">
    <w:name w:val="heading 2"/>
    <w:basedOn w:val="Normal"/>
    <w:qFormat/>
    <w:rsid w:val="007B3FCB"/>
    <w:pPr>
      <w:tabs>
        <w:tab w:val="right" w:pos="720"/>
        <w:tab w:val="left" w:pos="1080"/>
      </w:tabs>
      <w:overflowPunct/>
      <w:autoSpaceDE/>
      <w:autoSpaceDN/>
      <w:adjustRightInd/>
      <w:spacing w:after="360"/>
      <w:jc w:val="center"/>
      <w:textAlignment w:val="auto"/>
      <w:outlineLvl w:val="1"/>
    </w:pPr>
    <w:rPr>
      <w:rFonts w:ascii="Times" w:hAnsi="Times"/>
      <w:bCs/>
      <w:caps/>
    </w:rPr>
  </w:style>
  <w:style w:type="paragraph" w:styleId="Heading3">
    <w:name w:val="heading 3"/>
    <w:basedOn w:val="Normal"/>
    <w:qFormat/>
    <w:rsid w:val="007B3FCB"/>
    <w:pPr>
      <w:overflowPunct/>
      <w:autoSpaceDE/>
      <w:autoSpaceDN/>
      <w:adjustRightInd/>
      <w:spacing w:before="120" w:after="240"/>
      <w:jc w:val="center"/>
      <w:textAlignment w:val="auto"/>
      <w:outlineLvl w:val="2"/>
    </w:pPr>
    <w:rPr>
      <w:rFonts w:ascii="Times" w:hAnsi="Times"/>
      <w:caps/>
      <w:noProof/>
      <w:kern w:val="28"/>
    </w:rPr>
  </w:style>
  <w:style w:type="paragraph" w:styleId="Heading4">
    <w:name w:val="heading 4"/>
    <w:basedOn w:val="Normal"/>
    <w:next w:val="Standard"/>
    <w:link w:val="Heading4Char"/>
    <w:qFormat/>
    <w:rsid w:val="003875CE"/>
    <w:pPr>
      <w:keepNext/>
      <w:overflowPunct/>
      <w:autoSpaceDE/>
      <w:autoSpaceDN/>
      <w:adjustRightInd/>
      <w:spacing w:after="240"/>
      <w:textAlignment w:val="auto"/>
      <w:outlineLvl w:val="3"/>
    </w:pPr>
    <w:rPr>
      <w:b/>
    </w:rPr>
  </w:style>
  <w:style w:type="paragraph" w:styleId="Heading5">
    <w:name w:val="heading 5"/>
    <w:basedOn w:val="Normal"/>
    <w:qFormat/>
    <w:rsid w:val="003875CE"/>
    <w:pPr>
      <w:keepNext/>
      <w:overflowPunct/>
      <w:autoSpaceDE/>
      <w:autoSpaceDN/>
      <w:adjustRightInd/>
      <w:spacing w:after="240"/>
      <w:ind w:firstLine="720"/>
      <w:textAlignment w:val="auto"/>
      <w:outlineLvl w:val="4"/>
    </w:pPr>
    <w:rPr>
      <w:b/>
    </w:rPr>
  </w:style>
  <w:style w:type="paragraph" w:styleId="Heading6">
    <w:name w:val="heading 6"/>
    <w:basedOn w:val="Normal"/>
    <w:semiHidden/>
    <w:qFormat/>
    <w:rsid w:val="003875CE"/>
    <w:pPr>
      <w:overflowPunct/>
      <w:autoSpaceDE/>
      <w:autoSpaceDN/>
      <w:adjustRightInd/>
      <w:spacing w:after="240" w:line="480" w:lineRule="auto"/>
      <w:textAlignment w:val="auto"/>
      <w:outlineLvl w:val="5"/>
    </w:pPr>
  </w:style>
  <w:style w:type="paragraph" w:styleId="Heading7">
    <w:name w:val="heading 7"/>
    <w:basedOn w:val="Normal"/>
    <w:semiHidden/>
    <w:qFormat/>
    <w:rsid w:val="003875CE"/>
    <w:pPr>
      <w:overflowPunct/>
      <w:autoSpaceDE/>
      <w:autoSpaceDN/>
      <w:adjustRightInd/>
      <w:spacing w:before="240" w:after="60" w:line="480" w:lineRule="auto"/>
      <w:textAlignment w:val="auto"/>
      <w:outlineLvl w:val="6"/>
    </w:pPr>
    <w:rPr>
      <w:rFonts w:ascii="Arial" w:hAnsi="Arial"/>
    </w:rPr>
  </w:style>
  <w:style w:type="paragraph" w:styleId="Heading8">
    <w:name w:val="heading 8"/>
    <w:basedOn w:val="Normal"/>
    <w:semiHidden/>
    <w:qFormat/>
    <w:rsid w:val="003875CE"/>
    <w:pPr>
      <w:overflowPunct/>
      <w:autoSpaceDE/>
      <w:autoSpaceDN/>
      <w:adjustRightInd/>
      <w:spacing w:before="240" w:after="60" w:line="480" w:lineRule="auto"/>
      <w:textAlignment w:val="auto"/>
      <w:outlineLvl w:val="7"/>
    </w:pPr>
    <w:rPr>
      <w:rFonts w:ascii="Arial" w:hAnsi="Arial"/>
      <w:i/>
    </w:rPr>
  </w:style>
  <w:style w:type="paragraph" w:styleId="Heading9">
    <w:name w:val="heading 9"/>
    <w:basedOn w:val="Normal"/>
    <w:semiHidden/>
    <w:qFormat/>
    <w:rsid w:val="003875CE"/>
    <w:pPr>
      <w:overflowPunct/>
      <w:autoSpaceDE/>
      <w:autoSpaceDN/>
      <w:adjustRightInd/>
      <w:spacing w:before="240" w:after="60" w:line="480" w:lineRule="auto"/>
      <w:textAlignment w:val="auto"/>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2"/>
    <w:qFormat/>
    <w:rsid w:val="003875CE"/>
    <w:pPr>
      <w:overflowPunct/>
      <w:autoSpaceDE/>
      <w:autoSpaceDN/>
      <w:adjustRightInd/>
      <w:spacing w:after="120"/>
      <w:textAlignment w:val="auto"/>
    </w:pPr>
  </w:style>
  <w:style w:type="paragraph" w:styleId="Footer">
    <w:name w:val="footer"/>
    <w:basedOn w:val="Normal"/>
    <w:semiHidden/>
    <w:rsid w:val="003875CE"/>
    <w:pPr>
      <w:tabs>
        <w:tab w:val="center" w:pos="4320"/>
        <w:tab w:val="right" w:pos="8640"/>
      </w:tabs>
      <w:overflowPunct/>
      <w:autoSpaceDE/>
      <w:autoSpaceDN/>
      <w:adjustRightInd/>
      <w:jc w:val="left"/>
      <w:textAlignment w:val="auto"/>
    </w:pPr>
  </w:style>
  <w:style w:type="character" w:styleId="FootnoteReference">
    <w:name w:val="footnote reference"/>
    <w:basedOn w:val="DefaultParagraphFont"/>
    <w:semiHidden/>
    <w:rsid w:val="003875CE"/>
    <w:rPr>
      <w:vertAlign w:val="superscript"/>
    </w:rPr>
  </w:style>
  <w:style w:type="paragraph" w:styleId="Header">
    <w:name w:val="header"/>
    <w:basedOn w:val="Normal"/>
    <w:semiHidden/>
    <w:rsid w:val="003875CE"/>
    <w:pPr>
      <w:tabs>
        <w:tab w:val="center" w:pos="4320"/>
        <w:tab w:val="right" w:pos="8640"/>
      </w:tabs>
      <w:overflowPunct/>
      <w:autoSpaceDE/>
      <w:autoSpaceDN/>
      <w:adjustRightInd/>
      <w:spacing w:after="240" w:line="480" w:lineRule="auto"/>
      <w:textAlignment w:val="auto"/>
    </w:pPr>
  </w:style>
  <w:style w:type="paragraph" w:customStyle="1" w:styleId="SigLine">
    <w:name w:val="SigLine"/>
    <w:basedOn w:val="Normal"/>
    <w:rsid w:val="003875CE"/>
    <w:pPr>
      <w:tabs>
        <w:tab w:val="left" w:pos="720"/>
      </w:tabs>
      <w:overflowPunct/>
      <w:autoSpaceDE/>
      <w:autoSpaceDN/>
      <w:adjustRightInd/>
      <w:ind w:left="5760"/>
      <w:jc w:val="left"/>
      <w:textAlignment w:val="auto"/>
    </w:pPr>
  </w:style>
  <w:style w:type="character" w:styleId="PageNumber">
    <w:name w:val="page number"/>
    <w:basedOn w:val="DefaultParagraphFont"/>
    <w:semiHidden/>
    <w:rsid w:val="003875CE"/>
  </w:style>
  <w:style w:type="paragraph" w:styleId="BlockText">
    <w:name w:val="Block Text"/>
    <w:basedOn w:val="Normal"/>
    <w:uiPriority w:val="1"/>
    <w:qFormat/>
    <w:rsid w:val="003875CE"/>
    <w:pPr>
      <w:tabs>
        <w:tab w:val="left" w:pos="720"/>
      </w:tabs>
      <w:overflowPunct/>
      <w:autoSpaceDE/>
      <w:autoSpaceDN/>
      <w:adjustRightInd/>
      <w:spacing w:after="240"/>
      <w:ind w:left="720" w:right="720"/>
      <w:textAlignment w:val="auto"/>
    </w:pPr>
  </w:style>
  <w:style w:type="paragraph" w:styleId="BodyText">
    <w:name w:val="Body Text"/>
    <w:basedOn w:val="Normal"/>
    <w:link w:val="BodyTextChar"/>
    <w:rsid w:val="003875CE"/>
    <w:pPr>
      <w:overflowPunct/>
      <w:autoSpaceDE/>
      <w:autoSpaceDN/>
      <w:adjustRightInd/>
      <w:textAlignment w:val="auto"/>
    </w:pPr>
  </w:style>
  <w:style w:type="character" w:styleId="CommentReference">
    <w:name w:val="annotation reference"/>
    <w:basedOn w:val="DefaultParagraphFont"/>
    <w:semiHidden/>
    <w:rsid w:val="003875CE"/>
    <w:rPr>
      <w:sz w:val="16"/>
      <w:szCs w:val="16"/>
    </w:rPr>
  </w:style>
  <w:style w:type="paragraph" w:styleId="CommentText">
    <w:name w:val="annotation text"/>
    <w:basedOn w:val="Normal"/>
    <w:link w:val="CommentTextChar"/>
    <w:semiHidden/>
    <w:rsid w:val="003875CE"/>
    <w:pPr>
      <w:overflowPunct/>
      <w:autoSpaceDE/>
      <w:autoSpaceDN/>
      <w:adjustRightInd/>
      <w:spacing w:after="240" w:line="480" w:lineRule="auto"/>
      <w:textAlignment w:val="auto"/>
    </w:pPr>
    <w:rPr>
      <w:rFonts w:ascii="Helvetica" w:hAnsi="Helvetica"/>
      <w:sz w:val="20"/>
    </w:rPr>
  </w:style>
  <w:style w:type="paragraph" w:customStyle="1" w:styleId="Confidential">
    <w:name w:val="Confidential"/>
    <w:basedOn w:val="Normal"/>
    <w:uiPriority w:val="2"/>
    <w:qFormat/>
    <w:rsid w:val="003875CE"/>
    <w:pPr>
      <w:overflowPunct/>
      <w:autoSpaceDE/>
      <w:autoSpaceDN/>
      <w:adjustRightInd/>
      <w:spacing w:before="60" w:after="60"/>
      <w:jc w:val="center"/>
      <w:textAlignment w:val="auto"/>
    </w:pPr>
    <w:rPr>
      <w:rFonts w:ascii="Times" w:hAnsi="Times"/>
      <w:b/>
      <w:i/>
      <w:caps/>
      <w:color w:val="FF0000"/>
      <w:sz w:val="28"/>
      <w:u w:val="single"/>
    </w:rPr>
  </w:style>
  <w:style w:type="paragraph" w:styleId="DocumentMap">
    <w:name w:val="Document Map"/>
    <w:basedOn w:val="Normal"/>
    <w:semiHidden/>
    <w:rsid w:val="003875CE"/>
    <w:pPr>
      <w:shd w:val="clear" w:color="auto" w:fill="FFFF99"/>
      <w:overflowPunct/>
      <w:autoSpaceDE/>
      <w:autoSpaceDN/>
      <w:adjustRightInd/>
      <w:spacing w:after="240" w:line="480" w:lineRule="auto"/>
      <w:textAlignment w:val="auto"/>
    </w:pPr>
    <w:rPr>
      <w:rFonts w:ascii="Helvetica-Narrow" w:hAnsi="Helvetica-Narrow" w:cs="Tahoma"/>
      <w:color w:val="000080"/>
    </w:rPr>
  </w:style>
  <w:style w:type="character" w:styleId="FollowedHyperlink">
    <w:name w:val="FollowedHyperlink"/>
    <w:basedOn w:val="DefaultParagraphFont"/>
    <w:semiHidden/>
    <w:rsid w:val="003875CE"/>
    <w:rPr>
      <w:color w:val="800080"/>
      <w:u w:val="single"/>
    </w:rPr>
  </w:style>
  <w:style w:type="character" w:styleId="Hyperlink">
    <w:name w:val="Hyperlink"/>
    <w:basedOn w:val="DefaultParagraphFont"/>
    <w:semiHidden/>
    <w:rsid w:val="003875CE"/>
    <w:rPr>
      <w:color w:val="0000FF"/>
      <w:u w:val="single"/>
    </w:rPr>
  </w:style>
  <w:style w:type="paragraph" w:styleId="List">
    <w:name w:val="List"/>
    <w:basedOn w:val="Normal"/>
    <w:uiPriority w:val="2"/>
    <w:qFormat/>
    <w:rsid w:val="00D77CA3"/>
    <w:pPr>
      <w:tabs>
        <w:tab w:val="left" w:pos="2160"/>
      </w:tabs>
      <w:overflowPunct/>
      <w:autoSpaceDE/>
      <w:autoSpaceDN/>
      <w:adjustRightInd/>
      <w:spacing w:after="240"/>
      <w:ind w:left="2880" w:right="720" w:hanging="2160"/>
      <w:textAlignment w:val="auto"/>
    </w:pPr>
  </w:style>
  <w:style w:type="paragraph" w:styleId="Title">
    <w:name w:val="Title"/>
    <w:basedOn w:val="Normal"/>
    <w:link w:val="TitleChar"/>
    <w:qFormat/>
    <w:rsid w:val="003875CE"/>
    <w:pPr>
      <w:overflowPunct/>
      <w:autoSpaceDE/>
      <w:autoSpaceDN/>
      <w:adjustRightInd/>
      <w:spacing w:before="240" w:after="60"/>
      <w:jc w:val="center"/>
      <w:textAlignment w:val="auto"/>
      <w:outlineLvl w:val="0"/>
    </w:pPr>
    <w:rPr>
      <w:rFonts w:ascii="Times" w:hAnsi="Times" w:cs="Arial"/>
      <w:b/>
      <w:bCs/>
      <w:kern w:val="28"/>
      <w:szCs w:val="32"/>
    </w:rPr>
  </w:style>
  <w:style w:type="paragraph" w:styleId="TOAHeading">
    <w:name w:val="toa heading"/>
    <w:basedOn w:val="Normal"/>
    <w:semiHidden/>
    <w:rsid w:val="003875CE"/>
    <w:pPr>
      <w:overflowPunct/>
      <w:autoSpaceDE/>
      <w:autoSpaceDN/>
      <w:adjustRightInd/>
      <w:spacing w:after="240"/>
      <w:textAlignment w:val="auto"/>
    </w:pPr>
    <w:rPr>
      <w:rFonts w:cs="Arial"/>
      <w:b/>
      <w:bCs/>
    </w:rPr>
  </w:style>
  <w:style w:type="paragraph" w:styleId="TableofAuthorities">
    <w:name w:val="table of authorities"/>
    <w:basedOn w:val="Normal"/>
    <w:semiHidden/>
    <w:rsid w:val="003875CE"/>
    <w:pPr>
      <w:overflowPunct/>
      <w:autoSpaceDE/>
      <w:autoSpaceDN/>
      <w:adjustRightInd/>
      <w:spacing w:after="240"/>
      <w:ind w:left="245" w:hanging="245"/>
      <w:textAlignment w:val="auto"/>
    </w:pPr>
  </w:style>
  <w:style w:type="paragraph" w:customStyle="1" w:styleId="ListText">
    <w:name w:val="List Text"/>
    <w:basedOn w:val="Normal"/>
    <w:next w:val="List"/>
    <w:uiPriority w:val="2"/>
    <w:qFormat/>
    <w:rsid w:val="003875CE"/>
    <w:pPr>
      <w:keepNext/>
      <w:tabs>
        <w:tab w:val="left" w:pos="1440"/>
      </w:tabs>
      <w:overflowPunct/>
      <w:autoSpaceDE/>
      <w:autoSpaceDN/>
      <w:adjustRightInd/>
      <w:spacing w:line="480" w:lineRule="auto"/>
      <w:ind w:left="720"/>
      <w:textAlignment w:val="auto"/>
    </w:pPr>
  </w:style>
  <w:style w:type="paragraph" w:customStyle="1" w:styleId="Single">
    <w:name w:val="Single"/>
    <w:basedOn w:val="Normal"/>
    <w:qFormat/>
    <w:rsid w:val="003875CE"/>
    <w:pPr>
      <w:overflowPunct/>
      <w:autoSpaceDE/>
      <w:autoSpaceDN/>
      <w:adjustRightInd/>
      <w:spacing w:after="240"/>
      <w:textAlignment w:val="auto"/>
    </w:pPr>
  </w:style>
  <w:style w:type="paragraph" w:customStyle="1" w:styleId="Standard">
    <w:name w:val="Standard"/>
    <w:qFormat/>
    <w:rsid w:val="003875CE"/>
    <w:pPr>
      <w:spacing w:after="240" w:line="480" w:lineRule="auto"/>
      <w:jc w:val="both"/>
    </w:pPr>
    <w:rPr>
      <w:szCs w:val="20"/>
    </w:rPr>
  </w:style>
  <w:style w:type="character" w:customStyle="1" w:styleId="Heading4Char">
    <w:name w:val="Heading 4 Char"/>
    <w:basedOn w:val="DefaultParagraphFont"/>
    <w:link w:val="Heading4"/>
    <w:rsid w:val="003875CE"/>
    <w:rPr>
      <w:b/>
    </w:rPr>
  </w:style>
  <w:style w:type="character" w:customStyle="1" w:styleId="BodyTextChar">
    <w:name w:val="Body Text Char"/>
    <w:basedOn w:val="DefaultParagraphFont"/>
    <w:link w:val="BodyText"/>
    <w:rsid w:val="003875CE"/>
  </w:style>
  <w:style w:type="character" w:customStyle="1" w:styleId="TitleChar">
    <w:name w:val="Title Char"/>
    <w:basedOn w:val="DefaultParagraphFont"/>
    <w:link w:val="Title"/>
    <w:rsid w:val="003875CE"/>
    <w:rPr>
      <w:rFonts w:ascii="Times" w:hAnsi="Times" w:cs="Arial"/>
      <w:b/>
      <w:bCs/>
      <w:kern w:val="28"/>
      <w:szCs w:val="32"/>
    </w:rPr>
  </w:style>
  <w:style w:type="paragraph" w:customStyle="1" w:styleId="Quotation">
    <w:name w:val="Quotation"/>
    <w:basedOn w:val="Normal"/>
    <w:rsid w:val="003875CE"/>
    <w:pPr>
      <w:spacing w:after="240"/>
      <w:ind w:left="720" w:right="720" w:firstLine="720"/>
    </w:pPr>
  </w:style>
  <w:style w:type="character" w:customStyle="1" w:styleId="Heading1Char">
    <w:name w:val="Heading 1 Char"/>
    <w:basedOn w:val="DefaultParagraphFont"/>
    <w:link w:val="Heading1"/>
    <w:rsid w:val="003875CE"/>
    <w:rPr>
      <w:rFonts w:ascii="Times" w:hAnsi="Times"/>
      <w:caps/>
      <w:kern w:val="28"/>
    </w:rPr>
  </w:style>
  <w:style w:type="paragraph" w:customStyle="1" w:styleId="ListLast">
    <w:name w:val="List Last"/>
    <w:basedOn w:val="List"/>
    <w:qFormat/>
    <w:rsid w:val="008678F1"/>
    <w:pPr>
      <w:spacing w:after="480"/>
    </w:pPr>
  </w:style>
  <w:style w:type="character" w:customStyle="1" w:styleId="FootnoteTextChar">
    <w:name w:val="Footnote Text Char"/>
    <w:basedOn w:val="DefaultParagraphFont"/>
    <w:link w:val="FootnoteText"/>
    <w:uiPriority w:val="2"/>
    <w:rsid w:val="00A607DE"/>
  </w:style>
  <w:style w:type="paragraph" w:styleId="BalloonText">
    <w:name w:val="Balloon Text"/>
    <w:basedOn w:val="Normal"/>
    <w:link w:val="BalloonTextChar"/>
    <w:uiPriority w:val="99"/>
    <w:semiHidden/>
    <w:unhideWhenUsed/>
    <w:rsid w:val="001C01CB"/>
    <w:rPr>
      <w:rFonts w:ascii="Tahoma" w:hAnsi="Tahoma" w:cs="Tahoma"/>
      <w:sz w:val="16"/>
      <w:szCs w:val="16"/>
    </w:rPr>
  </w:style>
  <w:style w:type="character" w:customStyle="1" w:styleId="BalloonTextChar">
    <w:name w:val="Balloon Text Char"/>
    <w:basedOn w:val="DefaultParagraphFont"/>
    <w:link w:val="BalloonText"/>
    <w:uiPriority w:val="99"/>
    <w:semiHidden/>
    <w:rsid w:val="001C01C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472E"/>
    <w:pPr>
      <w:overflowPunct w:val="0"/>
      <w:autoSpaceDE w:val="0"/>
      <w:autoSpaceDN w:val="0"/>
      <w:adjustRightInd w:val="0"/>
      <w:spacing w:after="0" w:line="240" w:lineRule="auto"/>
      <w:textAlignment w:val="baseline"/>
    </w:pPr>
    <w:rPr>
      <w:rFonts w:ascii="Times New Roman" w:hAnsi="Times New Roman"/>
      <w:b/>
      <w:bCs/>
      <w:szCs w:val="20"/>
    </w:rPr>
  </w:style>
  <w:style w:type="character" w:customStyle="1" w:styleId="CommentTextChar">
    <w:name w:val="Comment Text Char"/>
    <w:basedOn w:val="DefaultParagraphFont"/>
    <w:link w:val="CommentText"/>
    <w:semiHidden/>
    <w:rsid w:val="00F0472E"/>
    <w:rPr>
      <w:rFonts w:ascii="Helvetica" w:hAnsi="Helvetica"/>
      <w:sz w:val="20"/>
    </w:rPr>
  </w:style>
  <w:style w:type="character" w:customStyle="1" w:styleId="CommentSubjectChar">
    <w:name w:val="Comment Subject Char"/>
    <w:basedOn w:val="CommentTextChar"/>
    <w:link w:val="CommentSubject"/>
    <w:rsid w:val="00F0472E"/>
  </w:style>
  <w:style w:type="paragraph" w:styleId="Revision">
    <w:name w:val="Revision"/>
    <w:hidden/>
    <w:uiPriority w:val="99"/>
    <w:semiHidden/>
    <w:rsid w:val="00975527"/>
  </w:style>
  <w:style w:type="character" w:customStyle="1" w:styleId="bestsection">
    <w:name w:val="bestsection"/>
    <w:basedOn w:val="DefaultParagraphFont"/>
    <w:rsid w:val="000F09FE"/>
  </w:style>
  <w:style w:type="character" w:customStyle="1" w:styleId="apple-converted-space">
    <w:name w:val="apple-converted-space"/>
    <w:basedOn w:val="DefaultParagraphFont"/>
    <w:rsid w:val="000F09FE"/>
  </w:style>
  <w:style w:type="character" w:customStyle="1" w:styleId="searchterm">
    <w:name w:val="searchterm"/>
    <w:basedOn w:val="DefaultParagraphFont"/>
    <w:rsid w:val="000F09FE"/>
  </w:style>
  <w:style w:type="character" w:customStyle="1" w:styleId="starpage">
    <w:name w:val="starpage"/>
    <w:basedOn w:val="DefaultParagraphFont"/>
    <w:rsid w:val="000F09FE"/>
  </w:style>
</w:styles>
</file>

<file path=word/webSettings.xml><?xml version="1.0" encoding="utf-8"?>
<w:webSettings xmlns:r="http://schemas.openxmlformats.org/officeDocument/2006/relationships" xmlns:w="http://schemas.openxmlformats.org/wordprocessingml/2006/main">
  <w:divs>
    <w:div w:id="18056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ffice2007Templates\UserTemplates\COA\COA%20Opin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7F135-1224-421B-9C00-5A5FB190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Opinion.dotm</Template>
  <TotalTime>1</TotalTime>
  <Pages>18</Pages>
  <Words>8059</Words>
  <Characters>42224</Characters>
  <Application>Microsoft Office Word</Application>
  <DocSecurity>4</DocSecurity>
  <Lines>351</Lines>
  <Paragraphs>100</Paragraphs>
  <ScaleCrop>false</ScaleCrop>
  <HeadingPairs>
    <vt:vector size="2" baseType="variant">
      <vt:variant>
        <vt:lpstr>Title</vt:lpstr>
      </vt:variant>
      <vt:variant>
        <vt:i4>1</vt:i4>
      </vt:variant>
    </vt:vector>
  </HeadingPairs>
  <TitlesOfParts>
    <vt:vector size="1" baseType="lpstr">
      <vt:lpstr>310047</vt:lpstr>
    </vt:vector>
  </TitlesOfParts>
  <Company>Michigan Court of Appeals</Company>
  <LinksUpToDate>false</LinksUpToDate>
  <CharactersWithSpaces>50183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310047</dc:title>
  <dc:creator>MCOA</dc:creator>
  <cp:lastModifiedBy>LROYSTER</cp:lastModifiedBy>
  <cp:revision>2</cp:revision>
  <cp:lastPrinted>2012-06-08T15:35:00Z</cp:lastPrinted>
  <dcterms:created xsi:type="dcterms:W3CDTF">2012-06-08T19:15:00Z</dcterms:created>
  <dcterms:modified xsi:type="dcterms:W3CDTF">2012-06-08T19:15:00Z</dcterms:modified>
</cp:coreProperties>
</file>